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000" w:type="pct"/>
        <w:tblCellMar>
          <w:top w:w="57" w:type="dxa"/>
          <w:left w:w="57" w:type="dxa"/>
          <w:bottom w:w="57" w:type="dxa"/>
          <w:right w:w="57" w:type="dxa"/>
        </w:tblCellMar>
        <w:tblLook w:val="04A0" w:firstRow="1" w:lastRow="0" w:firstColumn="1" w:lastColumn="0" w:noHBand="0" w:noVBand="1"/>
      </w:tblPr>
      <w:tblGrid>
        <w:gridCol w:w="2752"/>
        <w:gridCol w:w="2435"/>
        <w:gridCol w:w="2372"/>
        <w:gridCol w:w="2139"/>
        <w:gridCol w:w="2854"/>
      </w:tblGrid>
      <w:tr w:rsidR="00F21F30" w14:paraId="25FB5E34" w14:textId="77777777" w:rsidTr="006363B2">
        <w:tc>
          <w:tcPr>
            <w:tcW w:w="1096" w:type="pct"/>
            <w:vMerge w:val="restart"/>
          </w:tcPr>
          <w:p w14:paraId="7B63A26C" w14:textId="77777777" w:rsidR="00F21F30" w:rsidRDefault="00F21F30" w:rsidP="00F21F30">
            <w:pPr>
              <w:rPr>
                <w:rFonts w:ascii="Arial" w:hAnsi="Arial" w:cs="Arial"/>
              </w:rPr>
            </w:pPr>
            <w:r>
              <w:rPr>
                <w:rFonts w:ascii="Times New Roman" w:hAnsi="Times New Roman" w:cs="Times New Roman"/>
                <w:noProof/>
                <w:sz w:val="24"/>
                <w:szCs w:val="24"/>
                <w:lang w:eastAsia="es-CO"/>
              </w:rPr>
              <w:drawing>
                <wp:inline distT="0" distB="0" distL="0" distR="0" wp14:anchorId="023D2F12" wp14:editId="13D6854D">
                  <wp:extent cx="1655074" cy="12001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4716" cy="1207141"/>
                          </a:xfrm>
                          <a:prstGeom prst="rect">
                            <a:avLst/>
                          </a:prstGeom>
                          <a:noFill/>
                        </pic:spPr>
                      </pic:pic>
                    </a:graphicData>
                  </a:graphic>
                </wp:inline>
              </w:drawing>
            </w:r>
          </w:p>
        </w:tc>
        <w:tc>
          <w:tcPr>
            <w:tcW w:w="2767" w:type="pct"/>
            <w:gridSpan w:val="3"/>
          </w:tcPr>
          <w:p w14:paraId="385AF069" w14:textId="5DB969C8" w:rsidR="00F21F30" w:rsidRPr="00F21F30" w:rsidRDefault="006363B2" w:rsidP="00F21F30">
            <w:pPr>
              <w:jc w:val="center"/>
              <w:rPr>
                <w:rFonts w:ascii="Arial" w:hAnsi="Arial" w:cs="Arial"/>
                <w:b/>
                <w:bCs/>
                <w:sz w:val="24"/>
                <w:szCs w:val="24"/>
              </w:rPr>
            </w:pPr>
            <w:r>
              <w:rPr>
                <w:rFonts w:ascii="Arial" w:hAnsi="Arial" w:cs="Arial"/>
                <w:noProof/>
                <w:lang w:eastAsia="es-CO"/>
              </w:rPr>
              <w:drawing>
                <wp:anchor distT="0" distB="0" distL="114300" distR="114300" simplePos="0" relativeHeight="251658240" behindDoc="1" locked="0" layoutInCell="1" allowOverlap="1" wp14:anchorId="07452A48" wp14:editId="52EF8C02">
                  <wp:simplePos x="0" y="0"/>
                  <wp:positionH relativeFrom="column">
                    <wp:posOffset>4331335</wp:posOffset>
                  </wp:positionH>
                  <wp:positionV relativeFrom="paragraph">
                    <wp:posOffset>-408305</wp:posOffset>
                  </wp:positionV>
                  <wp:extent cx="1926590" cy="1952625"/>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GI CRA-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6590" cy="1952625"/>
                          </a:xfrm>
                          <a:prstGeom prst="rect">
                            <a:avLst/>
                          </a:prstGeom>
                        </pic:spPr>
                      </pic:pic>
                    </a:graphicData>
                  </a:graphic>
                  <wp14:sizeRelH relativeFrom="page">
                    <wp14:pctWidth>0</wp14:pctWidth>
                  </wp14:sizeRelH>
                  <wp14:sizeRelV relativeFrom="page">
                    <wp14:pctHeight>0</wp14:pctHeight>
                  </wp14:sizeRelV>
                </wp:anchor>
              </w:drawing>
            </w:r>
            <w:r w:rsidR="00F21F30" w:rsidRPr="00F21F30">
              <w:rPr>
                <w:rFonts w:ascii="Arial" w:hAnsi="Arial" w:cs="Arial"/>
                <w:b/>
                <w:bCs/>
                <w:sz w:val="24"/>
                <w:szCs w:val="24"/>
              </w:rPr>
              <w:t>Normograma</w:t>
            </w:r>
          </w:p>
        </w:tc>
        <w:tc>
          <w:tcPr>
            <w:tcW w:w="1137" w:type="pct"/>
            <w:vMerge w:val="restart"/>
          </w:tcPr>
          <w:p w14:paraId="13C5CAA2" w14:textId="28299156" w:rsidR="00F21F30" w:rsidRDefault="00F21F30" w:rsidP="00F21F30">
            <w:pPr>
              <w:jc w:val="right"/>
              <w:rPr>
                <w:rFonts w:ascii="Arial" w:hAnsi="Arial" w:cs="Arial"/>
              </w:rPr>
            </w:pPr>
          </w:p>
        </w:tc>
      </w:tr>
      <w:tr w:rsidR="00F21F30" w14:paraId="7EE5837F" w14:textId="77777777" w:rsidTr="006363B2">
        <w:tc>
          <w:tcPr>
            <w:tcW w:w="1096" w:type="pct"/>
            <w:vMerge/>
          </w:tcPr>
          <w:p w14:paraId="3759B0F5" w14:textId="77777777" w:rsidR="00F21F30" w:rsidRDefault="00F21F30" w:rsidP="00F21F30">
            <w:pPr>
              <w:rPr>
                <w:rFonts w:ascii="Arial" w:hAnsi="Arial" w:cs="Arial"/>
              </w:rPr>
            </w:pPr>
          </w:p>
        </w:tc>
        <w:tc>
          <w:tcPr>
            <w:tcW w:w="2767" w:type="pct"/>
            <w:gridSpan w:val="3"/>
          </w:tcPr>
          <w:p w14:paraId="3B876D36" w14:textId="77777777" w:rsidR="006363B2" w:rsidRDefault="006363B2" w:rsidP="00F21F30">
            <w:pPr>
              <w:jc w:val="center"/>
              <w:rPr>
                <w:rFonts w:ascii="Arial" w:hAnsi="Arial" w:cs="Arial"/>
                <w:b/>
                <w:bCs/>
                <w:sz w:val="24"/>
                <w:szCs w:val="24"/>
              </w:rPr>
            </w:pPr>
          </w:p>
          <w:p w14:paraId="55759372" w14:textId="77777777" w:rsidR="006363B2" w:rsidRDefault="006363B2" w:rsidP="00F21F30">
            <w:pPr>
              <w:jc w:val="center"/>
              <w:rPr>
                <w:rFonts w:ascii="Arial" w:hAnsi="Arial" w:cs="Arial"/>
                <w:b/>
                <w:bCs/>
                <w:sz w:val="24"/>
                <w:szCs w:val="24"/>
              </w:rPr>
            </w:pPr>
          </w:p>
          <w:p w14:paraId="6250BA4F" w14:textId="38C672C3" w:rsidR="00F21F30" w:rsidRDefault="00CD1583" w:rsidP="00F21F30">
            <w:pPr>
              <w:jc w:val="center"/>
              <w:rPr>
                <w:rFonts w:ascii="Arial" w:hAnsi="Arial" w:cs="Arial"/>
                <w:b/>
                <w:bCs/>
                <w:sz w:val="24"/>
                <w:szCs w:val="24"/>
              </w:rPr>
            </w:pPr>
            <w:r>
              <w:rPr>
                <w:rFonts w:ascii="Arial" w:hAnsi="Arial" w:cs="Arial"/>
                <w:b/>
                <w:bCs/>
                <w:sz w:val="24"/>
                <w:szCs w:val="24"/>
              </w:rPr>
              <w:t xml:space="preserve">Proceso: </w:t>
            </w:r>
            <w:r w:rsidR="00F21F30" w:rsidRPr="00F21F30">
              <w:rPr>
                <w:rFonts w:ascii="Arial" w:hAnsi="Arial" w:cs="Arial"/>
                <w:b/>
                <w:bCs/>
                <w:sz w:val="24"/>
                <w:szCs w:val="24"/>
              </w:rPr>
              <w:t>Gestión de Sistemas</w:t>
            </w:r>
          </w:p>
          <w:p w14:paraId="06E66619" w14:textId="77777777" w:rsidR="006363B2" w:rsidRPr="006363B2" w:rsidRDefault="006363B2" w:rsidP="006363B2">
            <w:pPr>
              <w:rPr>
                <w:rFonts w:ascii="Arial" w:hAnsi="Arial" w:cs="Arial"/>
                <w:b/>
                <w:bCs/>
                <w:sz w:val="32"/>
                <w:szCs w:val="24"/>
              </w:rPr>
            </w:pPr>
          </w:p>
        </w:tc>
        <w:tc>
          <w:tcPr>
            <w:tcW w:w="1137" w:type="pct"/>
            <w:vMerge/>
          </w:tcPr>
          <w:p w14:paraId="4FE77E4F" w14:textId="77777777" w:rsidR="00F21F30" w:rsidRDefault="00F21F30" w:rsidP="00F21F30">
            <w:pPr>
              <w:rPr>
                <w:rFonts w:ascii="Arial" w:hAnsi="Arial" w:cs="Arial"/>
              </w:rPr>
            </w:pPr>
          </w:p>
        </w:tc>
      </w:tr>
      <w:tr w:rsidR="00F21F30" w14:paraId="41E74DC2" w14:textId="77777777" w:rsidTr="006363B2">
        <w:tc>
          <w:tcPr>
            <w:tcW w:w="1096" w:type="pct"/>
            <w:vMerge/>
          </w:tcPr>
          <w:p w14:paraId="45F2A76E" w14:textId="77777777" w:rsidR="00F21F30" w:rsidRDefault="00F21F30" w:rsidP="00F21F30">
            <w:pPr>
              <w:rPr>
                <w:rFonts w:ascii="Arial" w:hAnsi="Arial" w:cs="Arial"/>
              </w:rPr>
            </w:pPr>
          </w:p>
        </w:tc>
        <w:tc>
          <w:tcPr>
            <w:tcW w:w="970" w:type="pct"/>
          </w:tcPr>
          <w:p w14:paraId="090E1064" w14:textId="600AD31E" w:rsidR="00F21F30" w:rsidRPr="00F21F30" w:rsidRDefault="000774D0" w:rsidP="003E205A">
            <w:pPr>
              <w:jc w:val="center"/>
              <w:rPr>
                <w:rFonts w:ascii="Arial" w:hAnsi="Arial" w:cs="Arial"/>
                <w:b/>
                <w:bCs/>
                <w:sz w:val="20"/>
                <w:szCs w:val="20"/>
              </w:rPr>
            </w:pPr>
            <w:r w:rsidRPr="00F21F30">
              <w:rPr>
                <w:rFonts w:ascii="Arial" w:hAnsi="Arial" w:cs="Arial"/>
                <w:b/>
                <w:bCs/>
                <w:sz w:val="20"/>
                <w:szCs w:val="20"/>
              </w:rPr>
              <w:t>Código</w:t>
            </w:r>
            <w:r w:rsidR="00F21F30" w:rsidRPr="00F21F30">
              <w:rPr>
                <w:rFonts w:ascii="Arial" w:hAnsi="Arial" w:cs="Arial"/>
                <w:b/>
                <w:bCs/>
                <w:sz w:val="20"/>
                <w:szCs w:val="20"/>
              </w:rPr>
              <w:t xml:space="preserve">: </w:t>
            </w:r>
            <w:r w:rsidR="00F21F30" w:rsidRPr="00473765">
              <w:rPr>
                <w:rFonts w:ascii="Arial" w:hAnsi="Arial" w:cs="Arial"/>
                <w:bCs/>
                <w:sz w:val="20"/>
                <w:szCs w:val="20"/>
              </w:rPr>
              <w:t>GS-NM-01</w:t>
            </w:r>
          </w:p>
        </w:tc>
        <w:tc>
          <w:tcPr>
            <w:tcW w:w="945" w:type="pct"/>
          </w:tcPr>
          <w:p w14:paraId="7B976F3E" w14:textId="5D48FF76" w:rsidR="00F21F30" w:rsidRPr="00F21F30" w:rsidRDefault="00CD1583" w:rsidP="003E205A">
            <w:pPr>
              <w:jc w:val="center"/>
              <w:rPr>
                <w:rFonts w:ascii="Arial" w:hAnsi="Arial" w:cs="Arial"/>
                <w:b/>
                <w:bCs/>
                <w:sz w:val="20"/>
                <w:szCs w:val="20"/>
              </w:rPr>
            </w:pPr>
            <w:r>
              <w:rPr>
                <w:rFonts w:ascii="Arial" w:hAnsi="Arial" w:cs="Arial"/>
                <w:b/>
                <w:bCs/>
                <w:sz w:val="20"/>
                <w:szCs w:val="20"/>
              </w:rPr>
              <w:t xml:space="preserve">Versión: </w:t>
            </w:r>
            <w:r w:rsidRPr="00473765">
              <w:rPr>
                <w:rFonts w:ascii="Arial" w:hAnsi="Arial" w:cs="Arial"/>
                <w:bCs/>
                <w:sz w:val="20"/>
                <w:szCs w:val="20"/>
              </w:rPr>
              <w:t>2</w:t>
            </w:r>
          </w:p>
        </w:tc>
        <w:tc>
          <w:tcPr>
            <w:tcW w:w="852" w:type="pct"/>
          </w:tcPr>
          <w:p w14:paraId="7B939016" w14:textId="4E12FB3F" w:rsidR="00F21F30" w:rsidRPr="00F21F30" w:rsidRDefault="00621590" w:rsidP="003E205A">
            <w:pPr>
              <w:jc w:val="center"/>
              <w:rPr>
                <w:rFonts w:ascii="Arial" w:hAnsi="Arial" w:cs="Arial"/>
                <w:b/>
                <w:bCs/>
                <w:sz w:val="20"/>
                <w:szCs w:val="20"/>
              </w:rPr>
            </w:pPr>
            <w:r>
              <w:rPr>
                <w:rFonts w:ascii="Arial" w:hAnsi="Arial" w:cs="Arial"/>
                <w:b/>
                <w:bCs/>
                <w:sz w:val="20"/>
                <w:szCs w:val="20"/>
              </w:rPr>
              <w:t xml:space="preserve">Fecha: </w:t>
            </w:r>
            <w:r w:rsidR="00CD1583" w:rsidRPr="00473765">
              <w:rPr>
                <w:rFonts w:ascii="Arial" w:hAnsi="Arial" w:cs="Arial"/>
                <w:bCs/>
                <w:sz w:val="20"/>
                <w:szCs w:val="20"/>
              </w:rPr>
              <w:t>29/10/2020</w:t>
            </w:r>
          </w:p>
        </w:tc>
        <w:tc>
          <w:tcPr>
            <w:tcW w:w="1137" w:type="pct"/>
            <w:vMerge/>
          </w:tcPr>
          <w:p w14:paraId="670B91DA" w14:textId="77777777" w:rsidR="00F21F30" w:rsidRDefault="00F21F30" w:rsidP="00F21F30">
            <w:pPr>
              <w:rPr>
                <w:rFonts w:ascii="Arial" w:hAnsi="Arial" w:cs="Arial"/>
              </w:rPr>
            </w:pPr>
          </w:p>
        </w:tc>
      </w:tr>
    </w:tbl>
    <w:p w14:paraId="619EE517" w14:textId="77777777" w:rsidR="00BC5EE2" w:rsidRDefault="003E205A" w:rsidP="00F21F30">
      <w:pPr>
        <w:spacing w:after="0" w:line="240" w:lineRule="aut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9881"/>
      </w:tblGrid>
      <w:tr w:rsidR="00F21F30" w14:paraId="254D0D93" w14:textId="77777777" w:rsidTr="00D22804">
        <w:tc>
          <w:tcPr>
            <w:tcW w:w="2547" w:type="dxa"/>
          </w:tcPr>
          <w:p w14:paraId="27C7867D" w14:textId="77777777" w:rsidR="00F21F30" w:rsidRPr="00F21F30" w:rsidRDefault="00F21F30" w:rsidP="00F21F30">
            <w:pPr>
              <w:rPr>
                <w:rFonts w:ascii="Arial" w:hAnsi="Arial" w:cs="Arial"/>
                <w:b/>
                <w:bCs/>
              </w:rPr>
            </w:pPr>
            <w:r w:rsidRPr="00F21F30">
              <w:rPr>
                <w:rFonts w:ascii="Arial" w:hAnsi="Arial" w:cs="Arial"/>
                <w:b/>
                <w:bCs/>
              </w:rPr>
              <w:t>Objetivo del proceso:</w:t>
            </w:r>
          </w:p>
        </w:tc>
        <w:tc>
          <w:tcPr>
            <w:tcW w:w="9881" w:type="dxa"/>
          </w:tcPr>
          <w:p w14:paraId="2C7F28CD" w14:textId="0DA5CA9F" w:rsidR="00F21F30" w:rsidRDefault="001967E3" w:rsidP="00342430">
            <w:pPr>
              <w:jc w:val="both"/>
              <w:rPr>
                <w:rFonts w:ascii="Arial" w:hAnsi="Arial" w:cs="Arial"/>
              </w:rPr>
            </w:pPr>
            <w:r w:rsidRPr="001967E3">
              <w:rPr>
                <w:rFonts w:ascii="Arial" w:hAnsi="Arial" w:cs="Arial"/>
              </w:rPr>
              <w:t xml:space="preserve">Gestionar de manera integral las tecnologías de la información en la organización, prestando servicios acordes a las necesidades de la institución y </w:t>
            </w:r>
            <w:r w:rsidR="00DB7DE8">
              <w:rPr>
                <w:rFonts w:ascii="Arial" w:hAnsi="Arial" w:cs="Arial"/>
              </w:rPr>
              <w:t xml:space="preserve">a </w:t>
            </w:r>
            <w:r w:rsidRPr="001967E3">
              <w:rPr>
                <w:rFonts w:ascii="Arial" w:hAnsi="Arial" w:cs="Arial"/>
              </w:rPr>
              <w:t>los avances en la materia, para contribuir al desarrollo de los procesos estratégicos, misionales y de apoyo a través de la tecnología</w:t>
            </w:r>
            <w:r w:rsidR="00870428">
              <w:rPr>
                <w:rFonts w:ascii="Arial" w:hAnsi="Arial" w:cs="Arial"/>
              </w:rPr>
              <w:t>.</w:t>
            </w:r>
          </w:p>
        </w:tc>
      </w:tr>
    </w:tbl>
    <w:p w14:paraId="180E96B9" w14:textId="77777777" w:rsidR="00F21F30" w:rsidRDefault="00F21F30">
      <w:pPr>
        <w:spacing w:after="0" w:line="240" w:lineRule="auto"/>
        <w:rPr>
          <w:rFonts w:ascii="Arial" w:hAnsi="Arial" w:cs="Arial"/>
        </w:rPr>
      </w:pPr>
    </w:p>
    <w:tbl>
      <w:tblPr>
        <w:tblStyle w:val="Tablaconcuadrcula"/>
        <w:tblW w:w="0" w:type="auto"/>
        <w:tblCellMar>
          <w:top w:w="28" w:type="dxa"/>
          <w:left w:w="28" w:type="dxa"/>
          <w:bottom w:w="28" w:type="dxa"/>
          <w:right w:w="28" w:type="dxa"/>
        </w:tblCellMar>
        <w:tblLook w:val="04A0" w:firstRow="1" w:lastRow="0" w:firstColumn="1" w:lastColumn="0" w:noHBand="0" w:noVBand="1"/>
      </w:tblPr>
      <w:tblGrid>
        <w:gridCol w:w="334"/>
        <w:gridCol w:w="2862"/>
        <w:gridCol w:w="1046"/>
        <w:gridCol w:w="1302"/>
        <w:gridCol w:w="6950"/>
      </w:tblGrid>
      <w:tr w:rsidR="00530B53" w:rsidRPr="001E2038" w14:paraId="04A1BC3A" w14:textId="77777777" w:rsidTr="0068082C">
        <w:trPr>
          <w:cantSplit/>
          <w:tblHeader/>
        </w:trPr>
        <w:tc>
          <w:tcPr>
            <w:tcW w:w="0" w:type="auto"/>
          </w:tcPr>
          <w:p w14:paraId="02B8F447" w14:textId="77777777" w:rsidR="00F21F30" w:rsidRPr="001E2038" w:rsidRDefault="001E2038">
            <w:pPr>
              <w:rPr>
                <w:rFonts w:ascii="Arial" w:hAnsi="Arial" w:cs="Arial"/>
                <w:b/>
                <w:bCs/>
                <w:sz w:val="20"/>
                <w:szCs w:val="20"/>
              </w:rPr>
            </w:pPr>
            <w:r w:rsidRPr="001E2038">
              <w:rPr>
                <w:rFonts w:ascii="Arial" w:hAnsi="Arial" w:cs="Arial"/>
                <w:b/>
                <w:bCs/>
                <w:sz w:val="20"/>
                <w:szCs w:val="20"/>
              </w:rPr>
              <w:t>SC</w:t>
            </w:r>
          </w:p>
        </w:tc>
        <w:tc>
          <w:tcPr>
            <w:tcW w:w="2862" w:type="dxa"/>
          </w:tcPr>
          <w:p w14:paraId="0C7FFCB2" w14:textId="77777777" w:rsidR="00F21F30" w:rsidRPr="001E2038" w:rsidRDefault="001E2038">
            <w:pPr>
              <w:rPr>
                <w:rFonts w:ascii="Arial" w:hAnsi="Arial" w:cs="Arial"/>
                <w:b/>
                <w:bCs/>
                <w:sz w:val="20"/>
                <w:szCs w:val="20"/>
              </w:rPr>
            </w:pPr>
            <w:r w:rsidRPr="001E2038">
              <w:rPr>
                <w:rFonts w:ascii="Arial" w:hAnsi="Arial" w:cs="Arial"/>
                <w:b/>
                <w:bCs/>
                <w:sz w:val="20"/>
                <w:szCs w:val="20"/>
              </w:rPr>
              <w:t>NORMATIVIDAD</w:t>
            </w:r>
          </w:p>
        </w:tc>
        <w:tc>
          <w:tcPr>
            <w:tcW w:w="1046" w:type="dxa"/>
          </w:tcPr>
          <w:p w14:paraId="250DF549" w14:textId="77777777" w:rsidR="00F21F30" w:rsidRPr="001E2038" w:rsidRDefault="001E2038">
            <w:pPr>
              <w:rPr>
                <w:rFonts w:ascii="Arial" w:hAnsi="Arial" w:cs="Arial"/>
                <w:b/>
                <w:bCs/>
                <w:sz w:val="20"/>
                <w:szCs w:val="20"/>
              </w:rPr>
            </w:pPr>
            <w:r w:rsidRPr="001E2038">
              <w:rPr>
                <w:rFonts w:ascii="Arial" w:hAnsi="Arial" w:cs="Arial"/>
                <w:b/>
                <w:bCs/>
                <w:sz w:val="20"/>
                <w:szCs w:val="20"/>
              </w:rPr>
              <w:t>TIPO</w:t>
            </w:r>
          </w:p>
        </w:tc>
        <w:tc>
          <w:tcPr>
            <w:tcW w:w="1302" w:type="dxa"/>
          </w:tcPr>
          <w:p w14:paraId="2387B9F8" w14:textId="77777777" w:rsidR="00F21F30" w:rsidRPr="001E2038" w:rsidRDefault="001E2038">
            <w:pPr>
              <w:rPr>
                <w:rFonts w:ascii="Arial" w:hAnsi="Arial" w:cs="Arial"/>
                <w:b/>
                <w:bCs/>
                <w:sz w:val="20"/>
                <w:szCs w:val="20"/>
              </w:rPr>
            </w:pPr>
            <w:r w:rsidRPr="001E2038">
              <w:rPr>
                <w:rFonts w:ascii="Arial" w:hAnsi="Arial" w:cs="Arial"/>
                <w:b/>
                <w:bCs/>
                <w:sz w:val="20"/>
                <w:szCs w:val="20"/>
              </w:rPr>
              <w:t>ARTÍCULOS</w:t>
            </w:r>
          </w:p>
        </w:tc>
        <w:tc>
          <w:tcPr>
            <w:tcW w:w="6950" w:type="dxa"/>
          </w:tcPr>
          <w:p w14:paraId="28F61C20" w14:textId="77777777" w:rsidR="00F21F30" w:rsidRPr="001E2038" w:rsidRDefault="001E2038">
            <w:pPr>
              <w:rPr>
                <w:rFonts w:ascii="Arial" w:hAnsi="Arial" w:cs="Arial"/>
                <w:b/>
                <w:bCs/>
                <w:sz w:val="20"/>
                <w:szCs w:val="20"/>
              </w:rPr>
            </w:pPr>
            <w:r w:rsidRPr="001E2038">
              <w:rPr>
                <w:rFonts w:ascii="Arial" w:hAnsi="Arial" w:cs="Arial"/>
                <w:b/>
                <w:bCs/>
                <w:sz w:val="20"/>
                <w:szCs w:val="20"/>
              </w:rPr>
              <w:t>OBSERVACIO</w:t>
            </w:r>
            <w:bookmarkStart w:id="0" w:name="_GoBack"/>
            <w:bookmarkEnd w:id="0"/>
            <w:r w:rsidRPr="001E2038">
              <w:rPr>
                <w:rFonts w:ascii="Arial" w:hAnsi="Arial" w:cs="Arial"/>
                <w:b/>
                <w:bCs/>
                <w:sz w:val="20"/>
                <w:szCs w:val="20"/>
              </w:rPr>
              <w:t>NES</w:t>
            </w:r>
          </w:p>
        </w:tc>
      </w:tr>
      <w:tr w:rsidR="00530B53" w:rsidRPr="001E2038" w14:paraId="0E100CC3" w14:textId="77777777" w:rsidTr="0068082C">
        <w:trPr>
          <w:cantSplit/>
        </w:trPr>
        <w:tc>
          <w:tcPr>
            <w:tcW w:w="0" w:type="auto"/>
          </w:tcPr>
          <w:p w14:paraId="4BBEA891" w14:textId="77777777" w:rsidR="00F21F30" w:rsidRPr="001E2038" w:rsidRDefault="00F21F30">
            <w:pPr>
              <w:rPr>
                <w:rFonts w:ascii="Arial" w:hAnsi="Arial" w:cs="Arial"/>
                <w:sz w:val="20"/>
                <w:szCs w:val="20"/>
              </w:rPr>
            </w:pPr>
            <w:r w:rsidRPr="001E2038">
              <w:rPr>
                <w:rFonts w:ascii="Arial" w:hAnsi="Arial" w:cs="Arial"/>
                <w:sz w:val="20"/>
                <w:szCs w:val="20"/>
              </w:rPr>
              <w:t>1</w:t>
            </w:r>
          </w:p>
        </w:tc>
        <w:tc>
          <w:tcPr>
            <w:tcW w:w="2862" w:type="dxa"/>
          </w:tcPr>
          <w:p w14:paraId="6C559A4D" w14:textId="77777777" w:rsidR="00F21F30" w:rsidRPr="001E2038" w:rsidRDefault="00171A7D">
            <w:pPr>
              <w:rPr>
                <w:rFonts w:ascii="Arial" w:hAnsi="Arial" w:cs="Arial"/>
                <w:sz w:val="20"/>
                <w:szCs w:val="20"/>
              </w:rPr>
            </w:pPr>
            <w:r w:rsidRPr="001E2038">
              <w:rPr>
                <w:rFonts w:ascii="Arial" w:hAnsi="Arial" w:cs="Arial"/>
                <w:sz w:val="20"/>
                <w:szCs w:val="20"/>
              </w:rPr>
              <w:t>Ley 1955 de 2019, Por la cual se expide el Plan Nacional de Desarrollo 2018-2022 “Pacto por Colombia, pacto por la equidad”</w:t>
            </w:r>
          </w:p>
        </w:tc>
        <w:tc>
          <w:tcPr>
            <w:tcW w:w="1046" w:type="dxa"/>
          </w:tcPr>
          <w:p w14:paraId="2B0D7967" w14:textId="77777777" w:rsidR="00F21F30" w:rsidRPr="001E2038" w:rsidRDefault="00171A7D">
            <w:pPr>
              <w:rPr>
                <w:rFonts w:ascii="Arial" w:hAnsi="Arial" w:cs="Arial"/>
                <w:sz w:val="20"/>
                <w:szCs w:val="20"/>
              </w:rPr>
            </w:pPr>
            <w:r w:rsidRPr="001E2038">
              <w:rPr>
                <w:rFonts w:ascii="Arial" w:hAnsi="Arial" w:cs="Arial"/>
                <w:sz w:val="20"/>
                <w:szCs w:val="20"/>
              </w:rPr>
              <w:t>Ley</w:t>
            </w:r>
          </w:p>
        </w:tc>
        <w:tc>
          <w:tcPr>
            <w:tcW w:w="1302" w:type="dxa"/>
          </w:tcPr>
          <w:p w14:paraId="3EF740F4" w14:textId="77777777" w:rsidR="00F21F30" w:rsidRPr="001E2038" w:rsidRDefault="00171A7D">
            <w:pPr>
              <w:rPr>
                <w:rFonts w:ascii="Arial" w:hAnsi="Arial" w:cs="Arial"/>
                <w:sz w:val="20"/>
                <w:szCs w:val="20"/>
              </w:rPr>
            </w:pPr>
            <w:r w:rsidRPr="001E2038">
              <w:rPr>
                <w:rFonts w:ascii="Arial" w:hAnsi="Arial" w:cs="Arial"/>
                <w:sz w:val="20"/>
                <w:szCs w:val="20"/>
              </w:rPr>
              <w:t>147 y 148</w:t>
            </w:r>
          </w:p>
        </w:tc>
        <w:tc>
          <w:tcPr>
            <w:tcW w:w="6950" w:type="dxa"/>
          </w:tcPr>
          <w:p w14:paraId="2E83B6FE" w14:textId="77777777" w:rsidR="00F21F30" w:rsidRPr="001E2038" w:rsidRDefault="00171A7D" w:rsidP="00342430">
            <w:pPr>
              <w:jc w:val="both"/>
              <w:rPr>
                <w:rFonts w:ascii="Arial" w:hAnsi="Arial" w:cs="Arial"/>
                <w:sz w:val="20"/>
                <w:szCs w:val="20"/>
              </w:rPr>
            </w:pPr>
            <w:r w:rsidRPr="001E2038">
              <w:rPr>
                <w:rFonts w:ascii="Arial" w:hAnsi="Arial" w:cs="Arial"/>
                <w:sz w:val="20"/>
                <w:szCs w:val="20"/>
              </w:rPr>
              <w:t>Artículo 147 establece:” Transformación Digital Pública” y en el artículo 148 establece: “Gobierno digital como política de gestión y desempeño institucional”</w:t>
            </w:r>
          </w:p>
        </w:tc>
      </w:tr>
      <w:tr w:rsidR="00530B53" w:rsidRPr="001E2038" w14:paraId="3415CC9A" w14:textId="77777777" w:rsidTr="0068082C">
        <w:trPr>
          <w:cantSplit/>
        </w:trPr>
        <w:tc>
          <w:tcPr>
            <w:tcW w:w="0" w:type="auto"/>
          </w:tcPr>
          <w:p w14:paraId="18C64A31" w14:textId="77777777" w:rsidR="00F21F30" w:rsidRPr="001E2038" w:rsidRDefault="00171A7D">
            <w:pPr>
              <w:rPr>
                <w:rFonts w:ascii="Arial" w:hAnsi="Arial" w:cs="Arial"/>
                <w:sz w:val="20"/>
                <w:szCs w:val="20"/>
              </w:rPr>
            </w:pPr>
            <w:r w:rsidRPr="001E2038">
              <w:rPr>
                <w:rFonts w:ascii="Arial" w:hAnsi="Arial" w:cs="Arial"/>
                <w:sz w:val="20"/>
                <w:szCs w:val="20"/>
              </w:rPr>
              <w:t>2</w:t>
            </w:r>
          </w:p>
        </w:tc>
        <w:tc>
          <w:tcPr>
            <w:tcW w:w="2862" w:type="dxa"/>
          </w:tcPr>
          <w:p w14:paraId="0A18F9DE" w14:textId="77777777" w:rsidR="00F21F30" w:rsidRPr="001E2038" w:rsidRDefault="00171A7D">
            <w:pPr>
              <w:rPr>
                <w:rFonts w:ascii="Arial" w:hAnsi="Arial" w:cs="Arial"/>
                <w:sz w:val="20"/>
                <w:szCs w:val="20"/>
              </w:rPr>
            </w:pPr>
            <w:r w:rsidRPr="001E2038">
              <w:rPr>
                <w:rFonts w:ascii="Arial" w:hAnsi="Arial" w:cs="Arial"/>
                <w:sz w:val="20"/>
                <w:szCs w:val="20"/>
              </w:rPr>
              <w:t>Decreto 1008 de 2018</w:t>
            </w:r>
          </w:p>
        </w:tc>
        <w:tc>
          <w:tcPr>
            <w:tcW w:w="1046" w:type="dxa"/>
          </w:tcPr>
          <w:p w14:paraId="7B3678BC" w14:textId="77777777" w:rsidR="00F21F30" w:rsidRPr="001E2038" w:rsidRDefault="00171A7D">
            <w:pPr>
              <w:rPr>
                <w:rFonts w:ascii="Arial" w:hAnsi="Arial" w:cs="Arial"/>
                <w:sz w:val="20"/>
                <w:szCs w:val="20"/>
              </w:rPr>
            </w:pPr>
            <w:r w:rsidRPr="001E2038">
              <w:rPr>
                <w:rFonts w:ascii="Arial" w:hAnsi="Arial" w:cs="Arial"/>
                <w:sz w:val="20"/>
                <w:szCs w:val="20"/>
              </w:rPr>
              <w:t>Decreto</w:t>
            </w:r>
          </w:p>
        </w:tc>
        <w:tc>
          <w:tcPr>
            <w:tcW w:w="1302" w:type="dxa"/>
          </w:tcPr>
          <w:p w14:paraId="73C2C240" w14:textId="77777777" w:rsidR="00F21F30" w:rsidRPr="001E2038" w:rsidRDefault="00171A7D">
            <w:pPr>
              <w:rPr>
                <w:rFonts w:ascii="Arial" w:hAnsi="Arial" w:cs="Arial"/>
                <w:sz w:val="20"/>
                <w:szCs w:val="20"/>
              </w:rPr>
            </w:pPr>
            <w:r w:rsidRPr="001E2038">
              <w:rPr>
                <w:rFonts w:ascii="Arial" w:hAnsi="Arial" w:cs="Arial"/>
                <w:sz w:val="20"/>
                <w:szCs w:val="20"/>
              </w:rPr>
              <w:t>Todo</w:t>
            </w:r>
          </w:p>
        </w:tc>
        <w:tc>
          <w:tcPr>
            <w:tcW w:w="6950" w:type="dxa"/>
          </w:tcPr>
          <w:p w14:paraId="11A2F821" w14:textId="77777777" w:rsidR="00F21F30" w:rsidRPr="001E2038" w:rsidRDefault="00171A7D" w:rsidP="00342430">
            <w:pPr>
              <w:jc w:val="both"/>
              <w:rPr>
                <w:rFonts w:ascii="Arial" w:hAnsi="Arial" w:cs="Arial"/>
                <w:sz w:val="20"/>
                <w:szCs w:val="20"/>
              </w:rPr>
            </w:pPr>
            <w:r w:rsidRPr="001E2038">
              <w:rPr>
                <w:rFonts w:ascii="Arial" w:hAnsi="Arial" w:cs="Arial"/>
                <w:sz w:val="20"/>
                <w:szCs w:val="20"/>
              </w:rPr>
              <w:t>Se establecen los lineamientos generales de la política de Gobierno Digital, la cual tiene por objeto promover el uso y aprovechamiento de las tecnologías de la información y las comunicaciones para consolidar un estado y ciudadanos competitivos, proactivos e innovadores, que generen valor público en un entorno de confianza digital.</w:t>
            </w:r>
          </w:p>
        </w:tc>
      </w:tr>
      <w:tr w:rsidR="00530B53" w:rsidRPr="001E2038" w14:paraId="29A2ABDA" w14:textId="77777777" w:rsidTr="0068082C">
        <w:trPr>
          <w:cantSplit/>
        </w:trPr>
        <w:tc>
          <w:tcPr>
            <w:tcW w:w="0" w:type="auto"/>
          </w:tcPr>
          <w:p w14:paraId="4356F5C7" w14:textId="77777777" w:rsidR="00F21F30" w:rsidRPr="001E2038" w:rsidRDefault="00171A7D">
            <w:pPr>
              <w:rPr>
                <w:rFonts w:ascii="Arial" w:hAnsi="Arial" w:cs="Arial"/>
                <w:sz w:val="20"/>
                <w:szCs w:val="20"/>
              </w:rPr>
            </w:pPr>
            <w:r w:rsidRPr="001E2038">
              <w:rPr>
                <w:rFonts w:ascii="Arial" w:hAnsi="Arial" w:cs="Arial"/>
                <w:sz w:val="20"/>
                <w:szCs w:val="20"/>
              </w:rPr>
              <w:t>3</w:t>
            </w:r>
          </w:p>
        </w:tc>
        <w:tc>
          <w:tcPr>
            <w:tcW w:w="2862" w:type="dxa"/>
          </w:tcPr>
          <w:p w14:paraId="7A1FB838" w14:textId="77777777" w:rsidR="00F21F30" w:rsidRPr="001E2038" w:rsidRDefault="00171A7D">
            <w:pPr>
              <w:rPr>
                <w:rFonts w:ascii="Arial" w:hAnsi="Arial" w:cs="Arial"/>
                <w:sz w:val="20"/>
                <w:szCs w:val="20"/>
              </w:rPr>
            </w:pPr>
            <w:r w:rsidRPr="001E2038">
              <w:rPr>
                <w:rFonts w:ascii="Arial" w:hAnsi="Arial" w:cs="Arial"/>
                <w:sz w:val="20"/>
                <w:szCs w:val="20"/>
              </w:rPr>
              <w:t>Decreto 415 de 2016</w:t>
            </w:r>
          </w:p>
        </w:tc>
        <w:tc>
          <w:tcPr>
            <w:tcW w:w="1046" w:type="dxa"/>
          </w:tcPr>
          <w:p w14:paraId="2DEB2FE2" w14:textId="77777777" w:rsidR="00F21F30" w:rsidRPr="001E2038" w:rsidRDefault="00171A7D">
            <w:pPr>
              <w:rPr>
                <w:rFonts w:ascii="Arial" w:hAnsi="Arial" w:cs="Arial"/>
                <w:sz w:val="20"/>
                <w:szCs w:val="20"/>
              </w:rPr>
            </w:pPr>
            <w:r w:rsidRPr="001E2038">
              <w:rPr>
                <w:rFonts w:ascii="Arial" w:hAnsi="Arial" w:cs="Arial"/>
                <w:sz w:val="20"/>
                <w:szCs w:val="20"/>
              </w:rPr>
              <w:t>Decreto</w:t>
            </w:r>
          </w:p>
        </w:tc>
        <w:tc>
          <w:tcPr>
            <w:tcW w:w="1302" w:type="dxa"/>
          </w:tcPr>
          <w:p w14:paraId="3298CE8A" w14:textId="77777777" w:rsidR="00F21F30" w:rsidRPr="001E2038" w:rsidRDefault="00171A7D">
            <w:pPr>
              <w:rPr>
                <w:rFonts w:ascii="Arial" w:hAnsi="Arial" w:cs="Arial"/>
                <w:sz w:val="20"/>
                <w:szCs w:val="20"/>
              </w:rPr>
            </w:pPr>
            <w:r w:rsidRPr="001E2038">
              <w:rPr>
                <w:rFonts w:ascii="Arial" w:hAnsi="Arial" w:cs="Arial"/>
                <w:sz w:val="20"/>
                <w:szCs w:val="20"/>
              </w:rPr>
              <w:t>Todo</w:t>
            </w:r>
          </w:p>
        </w:tc>
        <w:tc>
          <w:tcPr>
            <w:tcW w:w="6950" w:type="dxa"/>
          </w:tcPr>
          <w:p w14:paraId="2B384B04" w14:textId="318F9E36" w:rsidR="00F21F30" w:rsidRPr="001E2038" w:rsidRDefault="00171A7D" w:rsidP="00342430">
            <w:pPr>
              <w:jc w:val="both"/>
              <w:rPr>
                <w:rFonts w:ascii="Arial" w:hAnsi="Arial" w:cs="Arial"/>
                <w:sz w:val="20"/>
                <w:szCs w:val="20"/>
              </w:rPr>
            </w:pPr>
            <w:r w:rsidRPr="001E2038">
              <w:rPr>
                <w:rFonts w:ascii="Arial" w:hAnsi="Arial" w:cs="Arial"/>
                <w:sz w:val="20"/>
                <w:szCs w:val="20"/>
              </w:rPr>
              <w:t>Definición de los lineamientos para el fortalecimiento institucional en materia de tecnologías de la información y las comunicaciones</w:t>
            </w:r>
            <w:r w:rsidR="00342430">
              <w:rPr>
                <w:rFonts w:ascii="Arial" w:hAnsi="Arial" w:cs="Arial"/>
                <w:sz w:val="20"/>
                <w:szCs w:val="20"/>
              </w:rPr>
              <w:t>.</w:t>
            </w:r>
          </w:p>
        </w:tc>
      </w:tr>
      <w:tr w:rsidR="00530B53" w:rsidRPr="001E2038" w14:paraId="7991D449" w14:textId="77777777" w:rsidTr="0068082C">
        <w:trPr>
          <w:cantSplit/>
        </w:trPr>
        <w:tc>
          <w:tcPr>
            <w:tcW w:w="0" w:type="auto"/>
          </w:tcPr>
          <w:p w14:paraId="60A7840A" w14:textId="77777777" w:rsidR="00F21F30" w:rsidRPr="001E2038" w:rsidRDefault="00171A7D">
            <w:pPr>
              <w:rPr>
                <w:rFonts w:ascii="Arial" w:hAnsi="Arial" w:cs="Arial"/>
                <w:sz w:val="20"/>
                <w:szCs w:val="20"/>
              </w:rPr>
            </w:pPr>
            <w:r w:rsidRPr="001E2038">
              <w:rPr>
                <w:rFonts w:ascii="Arial" w:hAnsi="Arial" w:cs="Arial"/>
                <w:sz w:val="20"/>
                <w:szCs w:val="20"/>
              </w:rPr>
              <w:t>4</w:t>
            </w:r>
          </w:p>
        </w:tc>
        <w:tc>
          <w:tcPr>
            <w:tcW w:w="2862" w:type="dxa"/>
          </w:tcPr>
          <w:p w14:paraId="1581562B" w14:textId="77777777" w:rsidR="00F21F30" w:rsidRPr="001E2038" w:rsidRDefault="00171A7D">
            <w:pPr>
              <w:rPr>
                <w:rFonts w:ascii="Arial" w:hAnsi="Arial" w:cs="Arial"/>
                <w:sz w:val="20"/>
                <w:szCs w:val="20"/>
              </w:rPr>
            </w:pPr>
            <w:r w:rsidRPr="001E2038">
              <w:rPr>
                <w:rFonts w:ascii="Arial" w:hAnsi="Arial" w:cs="Arial"/>
                <w:sz w:val="20"/>
                <w:szCs w:val="20"/>
              </w:rPr>
              <w:t>Ley 1341 de 2009</w:t>
            </w:r>
          </w:p>
        </w:tc>
        <w:tc>
          <w:tcPr>
            <w:tcW w:w="1046" w:type="dxa"/>
          </w:tcPr>
          <w:p w14:paraId="1DD35DA1" w14:textId="77777777" w:rsidR="00F21F30" w:rsidRPr="001E2038" w:rsidRDefault="00171A7D">
            <w:pPr>
              <w:rPr>
                <w:rFonts w:ascii="Arial" w:hAnsi="Arial" w:cs="Arial"/>
                <w:sz w:val="20"/>
                <w:szCs w:val="20"/>
              </w:rPr>
            </w:pPr>
            <w:r w:rsidRPr="001E2038">
              <w:rPr>
                <w:rFonts w:ascii="Arial" w:hAnsi="Arial" w:cs="Arial"/>
                <w:sz w:val="20"/>
                <w:szCs w:val="20"/>
              </w:rPr>
              <w:t>Decreto</w:t>
            </w:r>
          </w:p>
        </w:tc>
        <w:tc>
          <w:tcPr>
            <w:tcW w:w="1302" w:type="dxa"/>
          </w:tcPr>
          <w:p w14:paraId="50BBB132" w14:textId="77777777" w:rsidR="00F21F30" w:rsidRPr="001E2038" w:rsidRDefault="00171A7D">
            <w:pPr>
              <w:rPr>
                <w:rFonts w:ascii="Arial" w:hAnsi="Arial" w:cs="Arial"/>
                <w:sz w:val="20"/>
                <w:szCs w:val="20"/>
              </w:rPr>
            </w:pPr>
            <w:r w:rsidRPr="001E2038">
              <w:rPr>
                <w:rFonts w:ascii="Arial" w:hAnsi="Arial" w:cs="Arial"/>
                <w:sz w:val="20"/>
                <w:szCs w:val="20"/>
              </w:rPr>
              <w:t xml:space="preserve">Parágrafo </w:t>
            </w:r>
            <w:r w:rsidR="00D22804">
              <w:rPr>
                <w:rFonts w:ascii="Arial" w:hAnsi="Arial" w:cs="Arial"/>
                <w:sz w:val="20"/>
                <w:szCs w:val="20"/>
              </w:rPr>
              <w:t xml:space="preserve">del </w:t>
            </w:r>
            <w:r w:rsidRPr="001E2038">
              <w:rPr>
                <w:rFonts w:ascii="Arial" w:hAnsi="Arial" w:cs="Arial"/>
                <w:sz w:val="20"/>
                <w:szCs w:val="20"/>
              </w:rPr>
              <w:t>artículo 38</w:t>
            </w:r>
          </w:p>
        </w:tc>
        <w:tc>
          <w:tcPr>
            <w:tcW w:w="6950" w:type="dxa"/>
          </w:tcPr>
          <w:p w14:paraId="4B899E7C" w14:textId="54CC02AE" w:rsidR="00F21F30" w:rsidRPr="001E2038" w:rsidRDefault="00171A7D" w:rsidP="00342430">
            <w:pPr>
              <w:jc w:val="both"/>
              <w:rPr>
                <w:rFonts w:ascii="Arial" w:hAnsi="Arial" w:cs="Arial"/>
                <w:sz w:val="20"/>
                <w:szCs w:val="20"/>
              </w:rPr>
            </w:pPr>
            <w:r w:rsidRPr="001E2038">
              <w:rPr>
                <w:rFonts w:ascii="Arial" w:hAnsi="Arial" w:cs="Arial"/>
                <w:sz w:val="20"/>
                <w:szCs w:val="20"/>
              </w:rPr>
              <w:t>“Las autoridades territoriales implementarán los mecanismos a su alcance para gestionar recursos a nivel nacional e internacional, para apoyar la masificación de las TIC, en sus respectivas jurisdicciones”</w:t>
            </w:r>
            <w:r w:rsidR="00342430">
              <w:rPr>
                <w:rFonts w:ascii="Arial" w:hAnsi="Arial" w:cs="Arial"/>
                <w:sz w:val="20"/>
                <w:szCs w:val="20"/>
              </w:rPr>
              <w:t>.</w:t>
            </w:r>
          </w:p>
        </w:tc>
      </w:tr>
      <w:tr w:rsidR="00530B53" w:rsidRPr="001E2038" w14:paraId="3A93EFEB" w14:textId="77777777" w:rsidTr="0068082C">
        <w:trPr>
          <w:cantSplit/>
        </w:trPr>
        <w:tc>
          <w:tcPr>
            <w:tcW w:w="0" w:type="auto"/>
          </w:tcPr>
          <w:p w14:paraId="6A89DB2B" w14:textId="77777777" w:rsidR="00F21F30" w:rsidRPr="001E2038" w:rsidRDefault="00171A7D">
            <w:pPr>
              <w:rPr>
                <w:rFonts w:ascii="Arial" w:hAnsi="Arial" w:cs="Arial"/>
                <w:sz w:val="20"/>
                <w:szCs w:val="20"/>
              </w:rPr>
            </w:pPr>
            <w:r w:rsidRPr="001E2038">
              <w:rPr>
                <w:rFonts w:ascii="Arial" w:hAnsi="Arial" w:cs="Arial"/>
                <w:sz w:val="20"/>
                <w:szCs w:val="20"/>
              </w:rPr>
              <w:t>5</w:t>
            </w:r>
          </w:p>
        </w:tc>
        <w:tc>
          <w:tcPr>
            <w:tcW w:w="2862" w:type="dxa"/>
          </w:tcPr>
          <w:p w14:paraId="45A9FB21" w14:textId="77777777" w:rsidR="00F21F30" w:rsidRPr="001E2038" w:rsidRDefault="00171A7D">
            <w:pPr>
              <w:rPr>
                <w:rFonts w:ascii="Arial" w:hAnsi="Arial" w:cs="Arial"/>
                <w:sz w:val="20"/>
                <w:szCs w:val="20"/>
              </w:rPr>
            </w:pPr>
            <w:r w:rsidRPr="001E2038">
              <w:rPr>
                <w:rFonts w:ascii="Arial" w:hAnsi="Arial" w:cs="Arial"/>
                <w:sz w:val="20"/>
                <w:szCs w:val="20"/>
              </w:rPr>
              <w:t>Ley 1474 de 2011</w:t>
            </w:r>
          </w:p>
        </w:tc>
        <w:tc>
          <w:tcPr>
            <w:tcW w:w="1046" w:type="dxa"/>
          </w:tcPr>
          <w:p w14:paraId="2513FA28" w14:textId="77777777" w:rsidR="00F21F30" w:rsidRPr="001E2038" w:rsidRDefault="00171A7D">
            <w:pPr>
              <w:rPr>
                <w:rFonts w:ascii="Arial" w:hAnsi="Arial" w:cs="Arial"/>
                <w:sz w:val="20"/>
                <w:szCs w:val="20"/>
              </w:rPr>
            </w:pPr>
            <w:r w:rsidRPr="001E2038">
              <w:rPr>
                <w:rFonts w:ascii="Arial" w:hAnsi="Arial" w:cs="Arial"/>
                <w:sz w:val="20"/>
                <w:szCs w:val="20"/>
              </w:rPr>
              <w:t>Ley</w:t>
            </w:r>
          </w:p>
        </w:tc>
        <w:tc>
          <w:tcPr>
            <w:tcW w:w="1302" w:type="dxa"/>
          </w:tcPr>
          <w:p w14:paraId="0A7089DB" w14:textId="77777777" w:rsidR="00F21F30" w:rsidRPr="001E2038" w:rsidRDefault="00171A7D">
            <w:pPr>
              <w:rPr>
                <w:rFonts w:ascii="Arial" w:hAnsi="Arial" w:cs="Arial"/>
                <w:sz w:val="20"/>
                <w:szCs w:val="20"/>
              </w:rPr>
            </w:pPr>
            <w:r w:rsidRPr="001E2038">
              <w:rPr>
                <w:rFonts w:ascii="Arial" w:hAnsi="Arial" w:cs="Arial"/>
                <w:sz w:val="20"/>
                <w:szCs w:val="20"/>
              </w:rPr>
              <w:t>Todo</w:t>
            </w:r>
          </w:p>
        </w:tc>
        <w:tc>
          <w:tcPr>
            <w:tcW w:w="6950" w:type="dxa"/>
          </w:tcPr>
          <w:p w14:paraId="1A654850" w14:textId="27B1385D" w:rsidR="00F21F30" w:rsidRPr="001E2038" w:rsidRDefault="00171A7D" w:rsidP="00342430">
            <w:pPr>
              <w:jc w:val="both"/>
              <w:rPr>
                <w:rFonts w:ascii="Arial" w:hAnsi="Arial" w:cs="Arial"/>
                <w:sz w:val="20"/>
                <w:szCs w:val="20"/>
              </w:rPr>
            </w:pPr>
            <w:r w:rsidRPr="001E2038">
              <w:rPr>
                <w:rFonts w:ascii="Arial" w:hAnsi="Arial" w:cs="Arial"/>
                <w:sz w:val="20"/>
                <w:szCs w:val="20"/>
              </w:rPr>
              <w:t>Por la cual se dictan normas orientadas a fortalecer los mecanismos de prevención, investigación y sanción de actos de corrupción y la efectividad del control de la gestión pública, hace referencia al uso obligatorio de los sitios web de las entidades públicas como mecanismo para la divulgación de información pública</w:t>
            </w:r>
            <w:r w:rsidR="00342430">
              <w:rPr>
                <w:rFonts w:ascii="Arial" w:hAnsi="Arial" w:cs="Arial"/>
                <w:sz w:val="20"/>
                <w:szCs w:val="20"/>
              </w:rPr>
              <w:t>.</w:t>
            </w:r>
          </w:p>
        </w:tc>
      </w:tr>
      <w:tr w:rsidR="00530B53" w:rsidRPr="001E2038" w14:paraId="7D325DC8" w14:textId="77777777" w:rsidTr="0068082C">
        <w:trPr>
          <w:cantSplit/>
        </w:trPr>
        <w:tc>
          <w:tcPr>
            <w:tcW w:w="0" w:type="auto"/>
          </w:tcPr>
          <w:p w14:paraId="5867CF74" w14:textId="77777777" w:rsidR="00F21F30" w:rsidRPr="001E2038" w:rsidRDefault="00171A7D">
            <w:pPr>
              <w:rPr>
                <w:rFonts w:ascii="Arial" w:hAnsi="Arial" w:cs="Arial"/>
                <w:sz w:val="20"/>
                <w:szCs w:val="20"/>
              </w:rPr>
            </w:pPr>
            <w:r w:rsidRPr="001E2038">
              <w:rPr>
                <w:rFonts w:ascii="Arial" w:hAnsi="Arial" w:cs="Arial"/>
                <w:sz w:val="20"/>
                <w:szCs w:val="20"/>
              </w:rPr>
              <w:lastRenderedPageBreak/>
              <w:t>6</w:t>
            </w:r>
          </w:p>
        </w:tc>
        <w:tc>
          <w:tcPr>
            <w:tcW w:w="2862" w:type="dxa"/>
          </w:tcPr>
          <w:p w14:paraId="218E811D" w14:textId="77777777" w:rsidR="00F21F30" w:rsidRPr="001E2038" w:rsidRDefault="00171A7D">
            <w:pPr>
              <w:rPr>
                <w:rFonts w:ascii="Arial" w:hAnsi="Arial" w:cs="Arial"/>
                <w:sz w:val="20"/>
                <w:szCs w:val="20"/>
              </w:rPr>
            </w:pPr>
            <w:r w:rsidRPr="001E2038">
              <w:rPr>
                <w:rFonts w:ascii="Arial" w:hAnsi="Arial" w:cs="Arial"/>
                <w:sz w:val="20"/>
                <w:szCs w:val="20"/>
              </w:rPr>
              <w:t>Ley 1450 de 2011</w:t>
            </w:r>
          </w:p>
        </w:tc>
        <w:tc>
          <w:tcPr>
            <w:tcW w:w="1046" w:type="dxa"/>
          </w:tcPr>
          <w:p w14:paraId="72FC058E" w14:textId="77777777" w:rsidR="00F21F30" w:rsidRPr="001E2038" w:rsidRDefault="00171A7D">
            <w:pPr>
              <w:rPr>
                <w:rFonts w:ascii="Arial" w:hAnsi="Arial" w:cs="Arial"/>
                <w:sz w:val="20"/>
                <w:szCs w:val="20"/>
              </w:rPr>
            </w:pPr>
            <w:r w:rsidRPr="001E2038">
              <w:rPr>
                <w:rFonts w:ascii="Arial" w:hAnsi="Arial" w:cs="Arial"/>
                <w:sz w:val="20"/>
                <w:szCs w:val="20"/>
              </w:rPr>
              <w:t>Ley</w:t>
            </w:r>
          </w:p>
        </w:tc>
        <w:tc>
          <w:tcPr>
            <w:tcW w:w="1302" w:type="dxa"/>
          </w:tcPr>
          <w:p w14:paraId="496E187D" w14:textId="77777777" w:rsidR="00F21F30" w:rsidRPr="001E2038" w:rsidRDefault="00171A7D">
            <w:pPr>
              <w:rPr>
                <w:rFonts w:ascii="Arial" w:hAnsi="Arial" w:cs="Arial"/>
                <w:sz w:val="20"/>
                <w:szCs w:val="20"/>
              </w:rPr>
            </w:pPr>
            <w:r w:rsidRPr="001E2038">
              <w:rPr>
                <w:rFonts w:ascii="Arial" w:hAnsi="Arial" w:cs="Arial"/>
                <w:sz w:val="20"/>
                <w:szCs w:val="20"/>
              </w:rPr>
              <w:t>Artículo 232</w:t>
            </w:r>
          </w:p>
        </w:tc>
        <w:tc>
          <w:tcPr>
            <w:tcW w:w="6950" w:type="dxa"/>
          </w:tcPr>
          <w:p w14:paraId="1FAE4FA6" w14:textId="42E00875" w:rsidR="00F21F30" w:rsidRPr="001E2038" w:rsidRDefault="00171A7D" w:rsidP="00342430">
            <w:pPr>
              <w:jc w:val="both"/>
              <w:rPr>
                <w:rFonts w:ascii="Arial" w:hAnsi="Arial" w:cs="Arial"/>
                <w:sz w:val="20"/>
                <w:szCs w:val="20"/>
              </w:rPr>
            </w:pPr>
            <w:r w:rsidRPr="001E2038">
              <w:rPr>
                <w:rFonts w:ascii="Arial" w:hAnsi="Arial" w:cs="Arial"/>
                <w:sz w:val="20"/>
                <w:szCs w:val="20"/>
              </w:rPr>
              <w:t>Prevé, sobre la Racionalización de trámites y procedimientos al interior de las entidades públicas. Que: los organismos y entidades de la Rama Ejecutiva del Orden Nacional y Territorial procederán a identificar, racionalizar y simplificar los procesos, procedimientos, trámites y servicios internos, con el propósito de eliminar duplicidad de funciones y barreras que impidan la oportuna, eficiente y eficaz prestación del servicio en la gestión de las organizaciones</w:t>
            </w:r>
            <w:r w:rsidR="00342430">
              <w:rPr>
                <w:rFonts w:ascii="Arial" w:hAnsi="Arial" w:cs="Arial"/>
                <w:sz w:val="20"/>
                <w:szCs w:val="20"/>
              </w:rPr>
              <w:t>.</w:t>
            </w:r>
          </w:p>
        </w:tc>
      </w:tr>
      <w:tr w:rsidR="00530B53" w:rsidRPr="001E2038" w14:paraId="05A9B8B8" w14:textId="77777777" w:rsidTr="0068082C">
        <w:trPr>
          <w:cantSplit/>
        </w:trPr>
        <w:tc>
          <w:tcPr>
            <w:tcW w:w="0" w:type="auto"/>
          </w:tcPr>
          <w:p w14:paraId="1044B0A1" w14:textId="77777777" w:rsidR="00F21F30" w:rsidRPr="001E2038" w:rsidRDefault="00171A7D">
            <w:pPr>
              <w:rPr>
                <w:rFonts w:ascii="Arial" w:hAnsi="Arial" w:cs="Arial"/>
                <w:sz w:val="20"/>
                <w:szCs w:val="20"/>
              </w:rPr>
            </w:pPr>
            <w:r w:rsidRPr="001E2038">
              <w:rPr>
                <w:rFonts w:ascii="Arial" w:hAnsi="Arial" w:cs="Arial"/>
                <w:sz w:val="20"/>
                <w:szCs w:val="20"/>
              </w:rPr>
              <w:t>7</w:t>
            </w:r>
          </w:p>
        </w:tc>
        <w:tc>
          <w:tcPr>
            <w:tcW w:w="2862" w:type="dxa"/>
          </w:tcPr>
          <w:p w14:paraId="3638C46A" w14:textId="77777777" w:rsidR="00F21F30" w:rsidRPr="001E2038" w:rsidRDefault="00171A7D">
            <w:pPr>
              <w:rPr>
                <w:rFonts w:ascii="Arial" w:hAnsi="Arial" w:cs="Arial"/>
                <w:sz w:val="20"/>
                <w:szCs w:val="20"/>
              </w:rPr>
            </w:pPr>
            <w:r w:rsidRPr="001E2038">
              <w:rPr>
                <w:rFonts w:ascii="Arial" w:hAnsi="Arial" w:cs="Arial"/>
                <w:sz w:val="20"/>
                <w:szCs w:val="20"/>
              </w:rPr>
              <w:t>Decreto – Ley 019 de 2012</w:t>
            </w:r>
          </w:p>
        </w:tc>
        <w:tc>
          <w:tcPr>
            <w:tcW w:w="1046" w:type="dxa"/>
          </w:tcPr>
          <w:p w14:paraId="3AD3EBA1" w14:textId="77777777" w:rsidR="00F21F30" w:rsidRPr="001E2038" w:rsidRDefault="00171A7D">
            <w:pPr>
              <w:rPr>
                <w:rFonts w:ascii="Arial" w:hAnsi="Arial" w:cs="Arial"/>
                <w:sz w:val="20"/>
                <w:szCs w:val="20"/>
              </w:rPr>
            </w:pPr>
            <w:r w:rsidRPr="001E2038">
              <w:rPr>
                <w:rFonts w:ascii="Arial" w:hAnsi="Arial" w:cs="Arial"/>
                <w:sz w:val="20"/>
                <w:szCs w:val="20"/>
              </w:rPr>
              <w:t xml:space="preserve">Decreto </w:t>
            </w:r>
          </w:p>
        </w:tc>
        <w:tc>
          <w:tcPr>
            <w:tcW w:w="1302" w:type="dxa"/>
          </w:tcPr>
          <w:p w14:paraId="6F034026" w14:textId="77777777" w:rsidR="00F21F30" w:rsidRPr="001E2038" w:rsidRDefault="00171A7D">
            <w:pPr>
              <w:rPr>
                <w:rFonts w:ascii="Arial" w:hAnsi="Arial" w:cs="Arial"/>
                <w:sz w:val="20"/>
                <w:szCs w:val="20"/>
              </w:rPr>
            </w:pPr>
            <w:r w:rsidRPr="001E2038">
              <w:rPr>
                <w:rFonts w:ascii="Arial" w:hAnsi="Arial" w:cs="Arial"/>
                <w:sz w:val="20"/>
                <w:szCs w:val="20"/>
              </w:rPr>
              <w:t>Artículo 4</w:t>
            </w:r>
          </w:p>
        </w:tc>
        <w:tc>
          <w:tcPr>
            <w:tcW w:w="6950" w:type="dxa"/>
          </w:tcPr>
          <w:p w14:paraId="6AC0E8A4" w14:textId="77777777" w:rsidR="00F21F30" w:rsidRPr="001E2038" w:rsidRDefault="00171A7D" w:rsidP="00342430">
            <w:pPr>
              <w:jc w:val="both"/>
              <w:rPr>
                <w:rFonts w:ascii="Arial" w:hAnsi="Arial" w:cs="Arial"/>
                <w:sz w:val="20"/>
                <w:szCs w:val="20"/>
              </w:rPr>
            </w:pPr>
            <w:r w:rsidRPr="001E2038">
              <w:rPr>
                <w:rFonts w:ascii="Arial" w:hAnsi="Arial" w:cs="Arial"/>
                <w:sz w:val="20"/>
                <w:szCs w:val="20"/>
              </w:rPr>
              <w:t>Estableció, en relación con la celeridad en las actuaciones administrativas, que: “Las autoridades tienen el impulso oficioso de los procesos administrativos; deben utilizar: formularios gratuitos para actuaciones en serie, cuando la naturaleza de ellas lo haga posible y cuando sea asunto de su competencia, suprimir los trámites innecesarios, sin que ello las releve de la obligación de considerar y valorar todos los argumentos de los interesados y los medios de pruebas decretados y practicados; deben incentivar el uso de las tecnologías de la información y las comunicaciones a efectos de que los procesos administrativos se adelanten con diligencia, dentro de los términos legales y sin dilaciones injustificadas; y deben adoptar las decisiones administrativas en el menor tiempo posible”.</w:t>
            </w:r>
          </w:p>
        </w:tc>
      </w:tr>
      <w:tr w:rsidR="00530B53" w:rsidRPr="001E2038" w14:paraId="48F4B67E" w14:textId="77777777" w:rsidTr="0068082C">
        <w:trPr>
          <w:cantSplit/>
        </w:trPr>
        <w:tc>
          <w:tcPr>
            <w:tcW w:w="0" w:type="auto"/>
          </w:tcPr>
          <w:p w14:paraId="5B2015DA" w14:textId="77777777" w:rsidR="00171A7D" w:rsidRPr="001E2038" w:rsidRDefault="00E27170">
            <w:pPr>
              <w:rPr>
                <w:rFonts w:ascii="Arial" w:hAnsi="Arial" w:cs="Arial"/>
                <w:sz w:val="20"/>
                <w:szCs w:val="20"/>
              </w:rPr>
            </w:pPr>
            <w:r w:rsidRPr="001E2038">
              <w:rPr>
                <w:rFonts w:ascii="Arial" w:hAnsi="Arial" w:cs="Arial"/>
                <w:sz w:val="20"/>
                <w:szCs w:val="20"/>
              </w:rPr>
              <w:t>8</w:t>
            </w:r>
          </w:p>
        </w:tc>
        <w:tc>
          <w:tcPr>
            <w:tcW w:w="2862" w:type="dxa"/>
          </w:tcPr>
          <w:p w14:paraId="78F33012" w14:textId="77777777" w:rsidR="00171A7D" w:rsidRPr="001E2038" w:rsidRDefault="00E27170">
            <w:pPr>
              <w:rPr>
                <w:rFonts w:ascii="Arial" w:hAnsi="Arial" w:cs="Arial"/>
                <w:sz w:val="20"/>
                <w:szCs w:val="20"/>
              </w:rPr>
            </w:pPr>
            <w:r w:rsidRPr="001E2038">
              <w:rPr>
                <w:rFonts w:ascii="Arial" w:hAnsi="Arial" w:cs="Arial"/>
                <w:sz w:val="20"/>
                <w:szCs w:val="20"/>
              </w:rPr>
              <w:t>Decreto 2573 de 2014</w:t>
            </w:r>
          </w:p>
        </w:tc>
        <w:tc>
          <w:tcPr>
            <w:tcW w:w="1046" w:type="dxa"/>
          </w:tcPr>
          <w:p w14:paraId="2488279D" w14:textId="77777777" w:rsidR="00171A7D" w:rsidRPr="001E2038" w:rsidRDefault="00E27170">
            <w:pPr>
              <w:rPr>
                <w:rFonts w:ascii="Arial" w:hAnsi="Arial" w:cs="Arial"/>
                <w:sz w:val="20"/>
                <w:szCs w:val="20"/>
              </w:rPr>
            </w:pPr>
            <w:r w:rsidRPr="001E2038">
              <w:rPr>
                <w:rFonts w:ascii="Arial" w:hAnsi="Arial" w:cs="Arial"/>
                <w:sz w:val="20"/>
                <w:szCs w:val="20"/>
              </w:rPr>
              <w:t>Decreto</w:t>
            </w:r>
          </w:p>
        </w:tc>
        <w:tc>
          <w:tcPr>
            <w:tcW w:w="1302" w:type="dxa"/>
          </w:tcPr>
          <w:p w14:paraId="16647C4B" w14:textId="77777777" w:rsidR="00171A7D" w:rsidRPr="001E2038" w:rsidRDefault="00E27170">
            <w:pPr>
              <w:rPr>
                <w:rFonts w:ascii="Arial" w:hAnsi="Arial" w:cs="Arial"/>
                <w:sz w:val="20"/>
                <w:szCs w:val="20"/>
              </w:rPr>
            </w:pPr>
            <w:r w:rsidRPr="001E2038">
              <w:rPr>
                <w:rFonts w:ascii="Arial" w:hAnsi="Arial" w:cs="Arial"/>
                <w:sz w:val="20"/>
                <w:szCs w:val="20"/>
              </w:rPr>
              <w:t>Todo</w:t>
            </w:r>
          </w:p>
        </w:tc>
        <w:tc>
          <w:tcPr>
            <w:tcW w:w="6950" w:type="dxa"/>
          </w:tcPr>
          <w:p w14:paraId="2800FCF3" w14:textId="20C1B8EC" w:rsidR="00171A7D" w:rsidRPr="001E2038" w:rsidRDefault="00E27170" w:rsidP="00342430">
            <w:pPr>
              <w:jc w:val="both"/>
              <w:rPr>
                <w:rFonts w:ascii="Arial" w:hAnsi="Arial" w:cs="Arial"/>
                <w:sz w:val="20"/>
                <w:szCs w:val="20"/>
              </w:rPr>
            </w:pPr>
            <w:r w:rsidRPr="001E2038">
              <w:rPr>
                <w:rFonts w:ascii="Arial" w:hAnsi="Arial" w:cs="Arial"/>
                <w:sz w:val="20"/>
                <w:szCs w:val="20"/>
              </w:rPr>
              <w:t>Reglamenta parcialmente la Ley 1341 de 2009 y define el componente  de  Privacidad y Seguridad de la información que incluye el modelo  de seguridad y privacidad  de la información (MSPI)</w:t>
            </w:r>
            <w:r w:rsidR="00342430">
              <w:rPr>
                <w:rFonts w:ascii="Arial" w:hAnsi="Arial" w:cs="Arial"/>
                <w:sz w:val="20"/>
                <w:szCs w:val="20"/>
              </w:rPr>
              <w:t>.</w:t>
            </w:r>
          </w:p>
        </w:tc>
      </w:tr>
      <w:tr w:rsidR="00530B53" w:rsidRPr="001E2038" w14:paraId="51FD568E" w14:textId="77777777" w:rsidTr="0068082C">
        <w:trPr>
          <w:cantSplit/>
        </w:trPr>
        <w:tc>
          <w:tcPr>
            <w:tcW w:w="0" w:type="auto"/>
          </w:tcPr>
          <w:p w14:paraId="6F09CCCC" w14:textId="77777777" w:rsidR="00E27170" w:rsidRPr="001E2038" w:rsidRDefault="00E27170">
            <w:pPr>
              <w:rPr>
                <w:rFonts w:ascii="Arial" w:hAnsi="Arial" w:cs="Arial"/>
                <w:sz w:val="20"/>
                <w:szCs w:val="20"/>
              </w:rPr>
            </w:pPr>
            <w:r w:rsidRPr="001E2038">
              <w:rPr>
                <w:rFonts w:ascii="Arial" w:hAnsi="Arial" w:cs="Arial"/>
                <w:sz w:val="20"/>
                <w:szCs w:val="20"/>
              </w:rPr>
              <w:t>9</w:t>
            </w:r>
          </w:p>
        </w:tc>
        <w:tc>
          <w:tcPr>
            <w:tcW w:w="2862" w:type="dxa"/>
          </w:tcPr>
          <w:p w14:paraId="6602A3D2" w14:textId="77777777" w:rsidR="00E27170" w:rsidRPr="001E2038" w:rsidRDefault="00E27170">
            <w:pPr>
              <w:rPr>
                <w:rFonts w:ascii="Arial" w:hAnsi="Arial" w:cs="Arial"/>
                <w:sz w:val="20"/>
                <w:szCs w:val="20"/>
              </w:rPr>
            </w:pPr>
            <w:r w:rsidRPr="001E2038">
              <w:rPr>
                <w:rFonts w:ascii="Arial" w:hAnsi="Arial" w:cs="Arial"/>
                <w:sz w:val="20"/>
                <w:szCs w:val="20"/>
              </w:rPr>
              <w:t>CONPES 3854 de 2016</w:t>
            </w:r>
          </w:p>
        </w:tc>
        <w:tc>
          <w:tcPr>
            <w:tcW w:w="1046" w:type="dxa"/>
          </w:tcPr>
          <w:p w14:paraId="0E5396EB" w14:textId="77777777" w:rsidR="00E27170" w:rsidRPr="001E2038" w:rsidRDefault="00E27170">
            <w:pPr>
              <w:rPr>
                <w:rFonts w:ascii="Arial" w:hAnsi="Arial" w:cs="Arial"/>
                <w:sz w:val="20"/>
                <w:szCs w:val="20"/>
              </w:rPr>
            </w:pPr>
            <w:r w:rsidRPr="001E2038">
              <w:rPr>
                <w:rFonts w:ascii="Arial" w:hAnsi="Arial" w:cs="Arial"/>
                <w:sz w:val="20"/>
                <w:szCs w:val="20"/>
              </w:rPr>
              <w:t>CONPES</w:t>
            </w:r>
          </w:p>
        </w:tc>
        <w:tc>
          <w:tcPr>
            <w:tcW w:w="1302" w:type="dxa"/>
          </w:tcPr>
          <w:p w14:paraId="37D170DD" w14:textId="77777777" w:rsidR="00E27170" w:rsidRPr="001E2038" w:rsidRDefault="00E27170">
            <w:pPr>
              <w:rPr>
                <w:rFonts w:ascii="Arial" w:hAnsi="Arial" w:cs="Arial"/>
                <w:sz w:val="20"/>
                <w:szCs w:val="20"/>
              </w:rPr>
            </w:pPr>
            <w:r w:rsidRPr="001E2038">
              <w:rPr>
                <w:rFonts w:ascii="Arial" w:hAnsi="Arial" w:cs="Arial"/>
                <w:sz w:val="20"/>
                <w:szCs w:val="20"/>
              </w:rPr>
              <w:t>Todo</w:t>
            </w:r>
          </w:p>
        </w:tc>
        <w:tc>
          <w:tcPr>
            <w:tcW w:w="6950" w:type="dxa"/>
          </w:tcPr>
          <w:p w14:paraId="78E3B0AA" w14:textId="77777777" w:rsidR="00E27170" w:rsidRPr="001E2038" w:rsidRDefault="00E27170" w:rsidP="00342430">
            <w:pPr>
              <w:jc w:val="both"/>
              <w:rPr>
                <w:rFonts w:ascii="Arial" w:hAnsi="Arial" w:cs="Arial"/>
                <w:sz w:val="20"/>
                <w:szCs w:val="20"/>
              </w:rPr>
            </w:pPr>
            <w:r w:rsidRPr="001E2038">
              <w:rPr>
                <w:rFonts w:ascii="Arial" w:hAnsi="Arial" w:cs="Arial"/>
                <w:sz w:val="20"/>
                <w:szCs w:val="20"/>
              </w:rPr>
              <w:t>Política Nacional de Seguridad Digital, con objetivo general: “Fortalecer las capacidades de las múltiples partes interesadas para identificar, gestionar, tratar y mitigar los riesgos de seguridad digital en sus actividades socioeconómicas en el entorno digital, en un marco de cooperación, colaboración y asistencia. Lo anterior, con el fin de contribuir al crecimiento de la economía digital nacional, lo que a su vez impulsará una mayor prosperidad económica y social en el país.”</w:t>
            </w:r>
          </w:p>
        </w:tc>
      </w:tr>
      <w:tr w:rsidR="000D1686" w:rsidRPr="001E2038" w14:paraId="2918396A" w14:textId="77777777" w:rsidTr="0068082C">
        <w:trPr>
          <w:cantSplit/>
        </w:trPr>
        <w:tc>
          <w:tcPr>
            <w:tcW w:w="0" w:type="auto"/>
          </w:tcPr>
          <w:p w14:paraId="7EEE5588" w14:textId="77777777" w:rsidR="00E27170" w:rsidRPr="001E2038" w:rsidRDefault="00E27170">
            <w:pPr>
              <w:rPr>
                <w:rFonts w:ascii="Arial" w:hAnsi="Arial" w:cs="Arial"/>
                <w:sz w:val="20"/>
                <w:szCs w:val="20"/>
              </w:rPr>
            </w:pPr>
            <w:r w:rsidRPr="001E2038">
              <w:rPr>
                <w:rFonts w:ascii="Arial" w:hAnsi="Arial" w:cs="Arial"/>
                <w:sz w:val="20"/>
                <w:szCs w:val="20"/>
              </w:rPr>
              <w:t>10</w:t>
            </w:r>
          </w:p>
        </w:tc>
        <w:tc>
          <w:tcPr>
            <w:tcW w:w="2862" w:type="dxa"/>
          </w:tcPr>
          <w:p w14:paraId="18543B58" w14:textId="77777777" w:rsidR="00E27170" w:rsidRPr="001E2038" w:rsidRDefault="00167E50">
            <w:pPr>
              <w:rPr>
                <w:rFonts w:ascii="Arial" w:hAnsi="Arial" w:cs="Arial"/>
                <w:sz w:val="20"/>
                <w:szCs w:val="20"/>
              </w:rPr>
            </w:pPr>
            <w:r w:rsidRPr="001E2038">
              <w:rPr>
                <w:rFonts w:ascii="Arial" w:hAnsi="Arial" w:cs="Arial"/>
                <w:sz w:val="20"/>
                <w:szCs w:val="20"/>
              </w:rPr>
              <w:t>Resolución 2405 de 2016</w:t>
            </w:r>
          </w:p>
        </w:tc>
        <w:tc>
          <w:tcPr>
            <w:tcW w:w="1046" w:type="dxa"/>
          </w:tcPr>
          <w:p w14:paraId="72755909" w14:textId="77777777" w:rsidR="00E27170" w:rsidRPr="001E2038" w:rsidRDefault="00167E50">
            <w:pPr>
              <w:rPr>
                <w:rFonts w:ascii="Arial" w:hAnsi="Arial" w:cs="Arial"/>
                <w:sz w:val="20"/>
                <w:szCs w:val="20"/>
              </w:rPr>
            </w:pPr>
            <w:r w:rsidRPr="001E2038">
              <w:rPr>
                <w:rFonts w:ascii="Arial" w:hAnsi="Arial" w:cs="Arial"/>
                <w:sz w:val="20"/>
                <w:szCs w:val="20"/>
              </w:rPr>
              <w:t xml:space="preserve">Resolución </w:t>
            </w:r>
          </w:p>
        </w:tc>
        <w:tc>
          <w:tcPr>
            <w:tcW w:w="1302" w:type="dxa"/>
          </w:tcPr>
          <w:p w14:paraId="1AE5A5B5" w14:textId="77777777" w:rsidR="00E27170" w:rsidRPr="001E2038" w:rsidRDefault="00167E50">
            <w:pPr>
              <w:rPr>
                <w:rFonts w:ascii="Arial" w:hAnsi="Arial" w:cs="Arial"/>
                <w:sz w:val="20"/>
                <w:szCs w:val="20"/>
              </w:rPr>
            </w:pPr>
            <w:r w:rsidRPr="001E2038">
              <w:rPr>
                <w:rFonts w:ascii="Arial" w:hAnsi="Arial" w:cs="Arial"/>
                <w:sz w:val="20"/>
                <w:szCs w:val="20"/>
              </w:rPr>
              <w:t>Todo</w:t>
            </w:r>
          </w:p>
        </w:tc>
        <w:tc>
          <w:tcPr>
            <w:tcW w:w="6950" w:type="dxa"/>
          </w:tcPr>
          <w:p w14:paraId="7712D8E8" w14:textId="77777777" w:rsidR="00E27170" w:rsidRPr="001E2038" w:rsidRDefault="00167E50">
            <w:pPr>
              <w:rPr>
                <w:rFonts w:ascii="Arial" w:hAnsi="Arial" w:cs="Arial"/>
                <w:sz w:val="20"/>
                <w:szCs w:val="20"/>
              </w:rPr>
            </w:pPr>
            <w:r w:rsidRPr="001E2038">
              <w:rPr>
                <w:rFonts w:ascii="Arial" w:hAnsi="Arial" w:cs="Arial"/>
                <w:sz w:val="20"/>
                <w:szCs w:val="20"/>
              </w:rPr>
              <w:t>MINTIC</w:t>
            </w:r>
          </w:p>
        </w:tc>
      </w:tr>
      <w:tr w:rsidR="000D1686" w:rsidRPr="001E2038" w14:paraId="773B6FD5" w14:textId="77777777" w:rsidTr="0068082C">
        <w:trPr>
          <w:cantSplit/>
        </w:trPr>
        <w:tc>
          <w:tcPr>
            <w:tcW w:w="0" w:type="auto"/>
          </w:tcPr>
          <w:p w14:paraId="215F582C" w14:textId="77777777" w:rsidR="002D674B" w:rsidRPr="001E2038" w:rsidRDefault="002D674B" w:rsidP="002D674B">
            <w:pPr>
              <w:rPr>
                <w:rFonts w:ascii="Arial" w:hAnsi="Arial" w:cs="Arial"/>
                <w:sz w:val="20"/>
                <w:szCs w:val="20"/>
              </w:rPr>
            </w:pPr>
            <w:r w:rsidRPr="001E2038">
              <w:rPr>
                <w:rFonts w:ascii="Arial" w:hAnsi="Arial" w:cs="Arial"/>
                <w:sz w:val="20"/>
                <w:szCs w:val="20"/>
              </w:rPr>
              <w:t>11</w:t>
            </w:r>
          </w:p>
        </w:tc>
        <w:tc>
          <w:tcPr>
            <w:tcW w:w="2862" w:type="dxa"/>
          </w:tcPr>
          <w:p w14:paraId="61C66075" w14:textId="77777777" w:rsidR="002D674B" w:rsidRPr="001E2038" w:rsidRDefault="002D674B" w:rsidP="002D674B">
            <w:pPr>
              <w:rPr>
                <w:rFonts w:ascii="Arial" w:hAnsi="Arial" w:cs="Arial"/>
                <w:sz w:val="20"/>
                <w:szCs w:val="20"/>
              </w:rPr>
            </w:pPr>
            <w:r w:rsidRPr="001E2038">
              <w:rPr>
                <w:rFonts w:ascii="Arial" w:hAnsi="Arial" w:cs="Arial"/>
                <w:sz w:val="20"/>
                <w:szCs w:val="20"/>
              </w:rPr>
              <w:t>Resolución 2710 de 2017</w:t>
            </w:r>
          </w:p>
        </w:tc>
        <w:tc>
          <w:tcPr>
            <w:tcW w:w="1046" w:type="dxa"/>
          </w:tcPr>
          <w:p w14:paraId="126F457E" w14:textId="77777777" w:rsidR="002D674B" w:rsidRPr="001E2038" w:rsidRDefault="002D674B" w:rsidP="002D674B">
            <w:pPr>
              <w:rPr>
                <w:rFonts w:ascii="Arial" w:hAnsi="Arial" w:cs="Arial"/>
                <w:sz w:val="20"/>
                <w:szCs w:val="20"/>
              </w:rPr>
            </w:pPr>
            <w:r w:rsidRPr="001E2038">
              <w:rPr>
                <w:rFonts w:ascii="Arial" w:hAnsi="Arial" w:cs="Arial"/>
                <w:sz w:val="20"/>
                <w:szCs w:val="20"/>
              </w:rPr>
              <w:t xml:space="preserve">Resolución </w:t>
            </w:r>
          </w:p>
        </w:tc>
        <w:tc>
          <w:tcPr>
            <w:tcW w:w="1302" w:type="dxa"/>
          </w:tcPr>
          <w:p w14:paraId="51C9B635" w14:textId="77777777" w:rsidR="002D674B" w:rsidRPr="001E2038" w:rsidRDefault="002D674B" w:rsidP="002D674B">
            <w:pPr>
              <w:rPr>
                <w:rFonts w:ascii="Arial" w:hAnsi="Arial" w:cs="Arial"/>
                <w:sz w:val="20"/>
                <w:szCs w:val="20"/>
              </w:rPr>
            </w:pPr>
            <w:r w:rsidRPr="001E2038">
              <w:rPr>
                <w:rFonts w:ascii="Arial" w:hAnsi="Arial" w:cs="Arial"/>
                <w:sz w:val="20"/>
                <w:szCs w:val="20"/>
              </w:rPr>
              <w:t>Todo</w:t>
            </w:r>
          </w:p>
        </w:tc>
        <w:tc>
          <w:tcPr>
            <w:tcW w:w="6950" w:type="dxa"/>
          </w:tcPr>
          <w:p w14:paraId="425FFB60" w14:textId="77777777" w:rsidR="002D674B" w:rsidRPr="001E2038" w:rsidRDefault="002D674B" w:rsidP="002D674B">
            <w:pPr>
              <w:rPr>
                <w:rFonts w:ascii="Arial" w:hAnsi="Arial" w:cs="Arial"/>
                <w:sz w:val="20"/>
                <w:szCs w:val="20"/>
              </w:rPr>
            </w:pPr>
            <w:r w:rsidRPr="001E2038">
              <w:rPr>
                <w:rFonts w:ascii="Arial" w:hAnsi="Arial" w:cs="Arial"/>
                <w:sz w:val="20"/>
                <w:szCs w:val="20"/>
              </w:rPr>
              <w:t>MINTIC</w:t>
            </w:r>
          </w:p>
        </w:tc>
      </w:tr>
      <w:tr w:rsidR="000D1686" w:rsidRPr="001E2038" w14:paraId="5A4E5CFB" w14:textId="77777777" w:rsidTr="0068082C">
        <w:trPr>
          <w:cantSplit/>
        </w:trPr>
        <w:tc>
          <w:tcPr>
            <w:tcW w:w="0" w:type="auto"/>
          </w:tcPr>
          <w:p w14:paraId="3E3E360A" w14:textId="77777777" w:rsidR="002D674B" w:rsidRPr="001E2038" w:rsidRDefault="002D674B" w:rsidP="002D674B">
            <w:pPr>
              <w:rPr>
                <w:rFonts w:ascii="Arial" w:hAnsi="Arial" w:cs="Arial"/>
                <w:sz w:val="20"/>
                <w:szCs w:val="20"/>
              </w:rPr>
            </w:pPr>
            <w:r w:rsidRPr="001E2038">
              <w:rPr>
                <w:rFonts w:ascii="Arial" w:hAnsi="Arial" w:cs="Arial"/>
                <w:sz w:val="20"/>
                <w:szCs w:val="20"/>
              </w:rPr>
              <w:t>12</w:t>
            </w:r>
          </w:p>
        </w:tc>
        <w:tc>
          <w:tcPr>
            <w:tcW w:w="2862" w:type="dxa"/>
          </w:tcPr>
          <w:p w14:paraId="73ABFA9E" w14:textId="77777777" w:rsidR="002D674B" w:rsidRPr="001E2038" w:rsidRDefault="002D674B" w:rsidP="002D674B">
            <w:pPr>
              <w:rPr>
                <w:rFonts w:ascii="Arial" w:hAnsi="Arial" w:cs="Arial"/>
                <w:sz w:val="20"/>
                <w:szCs w:val="20"/>
              </w:rPr>
            </w:pPr>
            <w:r w:rsidRPr="001E2038">
              <w:rPr>
                <w:rFonts w:ascii="Arial" w:hAnsi="Arial" w:cs="Arial"/>
                <w:sz w:val="20"/>
                <w:szCs w:val="20"/>
              </w:rPr>
              <w:t>Decreto 415 de 2016</w:t>
            </w:r>
          </w:p>
        </w:tc>
        <w:tc>
          <w:tcPr>
            <w:tcW w:w="1046" w:type="dxa"/>
          </w:tcPr>
          <w:p w14:paraId="27BA6933" w14:textId="77777777" w:rsidR="002D674B" w:rsidRPr="001E2038" w:rsidRDefault="002D674B" w:rsidP="002D674B">
            <w:pPr>
              <w:rPr>
                <w:rFonts w:ascii="Arial" w:hAnsi="Arial" w:cs="Arial"/>
                <w:sz w:val="20"/>
                <w:szCs w:val="20"/>
              </w:rPr>
            </w:pPr>
            <w:r w:rsidRPr="001E2038">
              <w:rPr>
                <w:rFonts w:ascii="Arial" w:hAnsi="Arial" w:cs="Arial"/>
                <w:sz w:val="20"/>
                <w:szCs w:val="20"/>
              </w:rPr>
              <w:t>Decreto</w:t>
            </w:r>
          </w:p>
        </w:tc>
        <w:tc>
          <w:tcPr>
            <w:tcW w:w="1302" w:type="dxa"/>
          </w:tcPr>
          <w:p w14:paraId="35628F49" w14:textId="77777777" w:rsidR="002D674B" w:rsidRPr="001E2038" w:rsidRDefault="002D674B" w:rsidP="002D674B">
            <w:pPr>
              <w:rPr>
                <w:rFonts w:ascii="Arial" w:hAnsi="Arial" w:cs="Arial"/>
                <w:sz w:val="20"/>
                <w:szCs w:val="20"/>
              </w:rPr>
            </w:pPr>
            <w:r w:rsidRPr="001E2038">
              <w:rPr>
                <w:rFonts w:ascii="Arial" w:hAnsi="Arial" w:cs="Arial"/>
                <w:sz w:val="20"/>
                <w:szCs w:val="20"/>
              </w:rPr>
              <w:t>Todo</w:t>
            </w:r>
          </w:p>
        </w:tc>
        <w:tc>
          <w:tcPr>
            <w:tcW w:w="6950" w:type="dxa"/>
          </w:tcPr>
          <w:p w14:paraId="211FC17B" w14:textId="676ECD2A" w:rsidR="002D674B" w:rsidRPr="001E2038" w:rsidRDefault="002D674B" w:rsidP="00342430">
            <w:pPr>
              <w:jc w:val="both"/>
              <w:rPr>
                <w:rFonts w:ascii="Arial" w:hAnsi="Arial" w:cs="Arial"/>
                <w:sz w:val="20"/>
                <w:szCs w:val="20"/>
              </w:rPr>
            </w:pPr>
            <w:r w:rsidRPr="001E2038">
              <w:rPr>
                <w:rFonts w:ascii="Arial" w:hAnsi="Arial" w:cs="Arial"/>
                <w:sz w:val="20"/>
                <w:szCs w:val="20"/>
              </w:rPr>
              <w:t>Se adiciona al decreto único reglamentario de la función pública la definición de lineamientos para el fortalecimiento institucional en materia de tecnologías de la información y las comunicaciones</w:t>
            </w:r>
            <w:r w:rsidR="00342430">
              <w:rPr>
                <w:rFonts w:ascii="Arial" w:hAnsi="Arial" w:cs="Arial"/>
                <w:sz w:val="20"/>
                <w:szCs w:val="20"/>
              </w:rPr>
              <w:t>.</w:t>
            </w:r>
          </w:p>
        </w:tc>
      </w:tr>
      <w:tr w:rsidR="000D1686" w:rsidRPr="001E2038" w14:paraId="675840B9" w14:textId="77777777" w:rsidTr="0068082C">
        <w:trPr>
          <w:cantSplit/>
        </w:trPr>
        <w:tc>
          <w:tcPr>
            <w:tcW w:w="0" w:type="auto"/>
          </w:tcPr>
          <w:p w14:paraId="0B51E619" w14:textId="77777777" w:rsidR="004B5072" w:rsidRPr="001E2038" w:rsidRDefault="004B5072" w:rsidP="002D674B">
            <w:pPr>
              <w:rPr>
                <w:rFonts w:ascii="Arial" w:hAnsi="Arial" w:cs="Arial"/>
                <w:sz w:val="20"/>
                <w:szCs w:val="20"/>
              </w:rPr>
            </w:pPr>
            <w:r w:rsidRPr="001E2038">
              <w:rPr>
                <w:rFonts w:ascii="Arial" w:hAnsi="Arial" w:cs="Arial"/>
                <w:sz w:val="20"/>
                <w:szCs w:val="20"/>
              </w:rPr>
              <w:t>13</w:t>
            </w:r>
          </w:p>
        </w:tc>
        <w:tc>
          <w:tcPr>
            <w:tcW w:w="2862" w:type="dxa"/>
          </w:tcPr>
          <w:p w14:paraId="5FF5098C" w14:textId="77777777" w:rsidR="004B5072" w:rsidRPr="001E2038" w:rsidRDefault="004B5072" w:rsidP="002D674B">
            <w:pPr>
              <w:rPr>
                <w:rFonts w:ascii="Arial" w:hAnsi="Arial" w:cs="Arial"/>
                <w:sz w:val="20"/>
                <w:szCs w:val="20"/>
              </w:rPr>
            </w:pPr>
            <w:r w:rsidRPr="001E2038">
              <w:rPr>
                <w:rFonts w:ascii="Arial" w:hAnsi="Arial" w:cs="Arial"/>
                <w:sz w:val="20"/>
                <w:szCs w:val="20"/>
              </w:rPr>
              <w:t>Decreto 1499 de 2017</w:t>
            </w:r>
          </w:p>
        </w:tc>
        <w:tc>
          <w:tcPr>
            <w:tcW w:w="1046" w:type="dxa"/>
          </w:tcPr>
          <w:p w14:paraId="567C301A" w14:textId="77777777" w:rsidR="004B5072" w:rsidRPr="001E2038" w:rsidRDefault="004B5072" w:rsidP="002D674B">
            <w:pPr>
              <w:rPr>
                <w:rFonts w:ascii="Arial" w:hAnsi="Arial" w:cs="Arial"/>
                <w:sz w:val="20"/>
                <w:szCs w:val="20"/>
              </w:rPr>
            </w:pPr>
            <w:r w:rsidRPr="001E2038">
              <w:rPr>
                <w:rFonts w:ascii="Arial" w:hAnsi="Arial" w:cs="Arial"/>
                <w:sz w:val="20"/>
                <w:szCs w:val="20"/>
              </w:rPr>
              <w:t>Decreto</w:t>
            </w:r>
          </w:p>
        </w:tc>
        <w:tc>
          <w:tcPr>
            <w:tcW w:w="1302" w:type="dxa"/>
          </w:tcPr>
          <w:p w14:paraId="754E3307" w14:textId="77777777" w:rsidR="004B5072" w:rsidRPr="001E2038" w:rsidRDefault="004B5072" w:rsidP="002D674B">
            <w:pPr>
              <w:rPr>
                <w:rFonts w:ascii="Arial" w:hAnsi="Arial" w:cs="Arial"/>
                <w:sz w:val="20"/>
                <w:szCs w:val="20"/>
              </w:rPr>
            </w:pPr>
            <w:r w:rsidRPr="001E2038">
              <w:rPr>
                <w:rFonts w:ascii="Arial" w:hAnsi="Arial" w:cs="Arial"/>
                <w:sz w:val="20"/>
                <w:szCs w:val="20"/>
              </w:rPr>
              <w:t>Todo</w:t>
            </w:r>
          </w:p>
        </w:tc>
        <w:tc>
          <w:tcPr>
            <w:tcW w:w="6950" w:type="dxa"/>
          </w:tcPr>
          <w:p w14:paraId="54088EB9" w14:textId="70181872" w:rsidR="004B5072" w:rsidRPr="001E2038" w:rsidRDefault="004B5072" w:rsidP="00342430">
            <w:pPr>
              <w:jc w:val="both"/>
              <w:rPr>
                <w:rFonts w:ascii="Arial" w:hAnsi="Arial" w:cs="Arial"/>
                <w:sz w:val="20"/>
                <w:szCs w:val="20"/>
              </w:rPr>
            </w:pPr>
            <w:r w:rsidRPr="001E2038">
              <w:rPr>
                <w:rFonts w:ascii="Arial" w:hAnsi="Arial" w:cs="Arial"/>
                <w:sz w:val="20"/>
                <w:szCs w:val="20"/>
              </w:rPr>
              <w:t>Se modifica el decreto 1083 de 2015 y se definen los lineamientos del modelo integral de planeación y gestión para el desarrollo administrativo y la gestión de la calidad para la gestión pública</w:t>
            </w:r>
            <w:r w:rsidR="00342430">
              <w:rPr>
                <w:rFonts w:ascii="Arial" w:hAnsi="Arial" w:cs="Arial"/>
                <w:sz w:val="20"/>
                <w:szCs w:val="20"/>
              </w:rPr>
              <w:t>.</w:t>
            </w:r>
          </w:p>
        </w:tc>
      </w:tr>
      <w:tr w:rsidR="00D22804" w:rsidRPr="001E2038" w14:paraId="35A1FB60" w14:textId="77777777" w:rsidTr="0068082C">
        <w:trPr>
          <w:cantSplit/>
        </w:trPr>
        <w:tc>
          <w:tcPr>
            <w:tcW w:w="0" w:type="auto"/>
          </w:tcPr>
          <w:p w14:paraId="3FB7DA2A" w14:textId="77777777" w:rsidR="00575CC6" w:rsidRPr="001E2038" w:rsidRDefault="00575CC6" w:rsidP="002D674B">
            <w:pPr>
              <w:rPr>
                <w:rFonts w:ascii="Arial" w:hAnsi="Arial" w:cs="Arial"/>
                <w:sz w:val="20"/>
                <w:szCs w:val="20"/>
              </w:rPr>
            </w:pPr>
            <w:r>
              <w:rPr>
                <w:rFonts w:ascii="Arial" w:hAnsi="Arial" w:cs="Arial"/>
                <w:sz w:val="20"/>
                <w:szCs w:val="20"/>
              </w:rPr>
              <w:t>14</w:t>
            </w:r>
          </w:p>
        </w:tc>
        <w:tc>
          <w:tcPr>
            <w:tcW w:w="2862" w:type="dxa"/>
          </w:tcPr>
          <w:p w14:paraId="0B3958C0" w14:textId="77777777" w:rsidR="00575CC6" w:rsidRPr="001E2038" w:rsidRDefault="00575CC6" w:rsidP="002D674B">
            <w:pPr>
              <w:rPr>
                <w:rFonts w:ascii="Arial" w:hAnsi="Arial" w:cs="Arial"/>
                <w:sz w:val="20"/>
                <w:szCs w:val="20"/>
              </w:rPr>
            </w:pPr>
            <w:r>
              <w:rPr>
                <w:rFonts w:ascii="Arial" w:hAnsi="Arial" w:cs="Arial"/>
                <w:sz w:val="20"/>
                <w:szCs w:val="20"/>
              </w:rPr>
              <w:t>Ley 99 de 1993</w:t>
            </w:r>
          </w:p>
        </w:tc>
        <w:tc>
          <w:tcPr>
            <w:tcW w:w="1046" w:type="dxa"/>
          </w:tcPr>
          <w:p w14:paraId="320E68E9" w14:textId="77777777" w:rsidR="00575CC6" w:rsidRPr="001E2038" w:rsidRDefault="00575CC6" w:rsidP="002D674B">
            <w:pPr>
              <w:rPr>
                <w:rFonts w:ascii="Arial" w:hAnsi="Arial" w:cs="Arial"/>
                <w:sz w:val="20"/>
                <w:szCs w:val="20"/>
              </w:rPr>
            </w:pPr>
            <w:r>
              <w:rPr>
                <w:rFonts w:ascii="Arial" w:hAnsi="Arial" w:cs="Arial"/>
                <w:sz w:val="20"/>
                <w:szCs w:val="20"/>
              </w:rPr>
              <w:t>Ley</w:t>
            </w:r>
          </w:p>
        </w:tc>
        <w:tc>
          <w:tcPr>
            <w:tcW w:w="1302" w:type="dxa"/>
          </w:tcPr>
          <w:p w14:paraId="6DDB7E18" w14:textId="77777777" w:rsidR="00575CC6" w:rsidRPr="001E2038" w:rsidRDefault="00575CC6" w:rsidP="002D674B">
            <w:pPr>
              <w:rPr>
                <w:rFonts w:ascii="Arial" w:hAnsi="Arial" w:cs="Arial"/>
                <w:sz w:val="20"/>
                <w:szCs w:val="20"/>
              </w:rPr>
            </w:pPr>
            <w:r>
              <w:rPr>
                <w:rFonts w:ascii="Arial" w:hAnsi="Arial" w:cs="Arial"/>
                <w:sz w:val="20"/>
                <w:szCs w:val="20"/>
              </w:rPr>
              <w:t xml:space="preserve">Artículo </w:t>
            </w:r>
            <w:r w:rsidRPr="00575CC6">
              <w:rPr>
                <w:rFonts w:ascii="Arial" w:hAnsi="Arial" w:cs="Arial"/>
                <w:sz w:val="20"/>
                <w:szCs w:val="20"/>
              </w:rPr>
              <w:t>31 Numerales: 22, 24</w:t>
            </w:r>
          </w:p>
        </w:tc>
        <w:tc>
          <w:tcPr>
            <w:tcW w:w="6950" w:type="dxa"/>
          </w:tcPr>
          <w:p w14:paraId="18815B8D" w14:textId="26C5DBB6" w:rsidR="00575CC6" w:rsidRPr="001E2038" w:rsidRDefault="00342430" w:rsidP="002D674B">
            <w:pPr>
              <w:rPr>
                <w:rFonts w:ascii="Arial" w:hAnsi="Arial" w:cs="Arial"/>
                <w:sz w:val="20"/>
                <w:szCs w:val="20"/>
              </w:rPr>
            </w:pPr>
            <w:r>
              <w:rPr>
                <w:rFonts w:ascii="Arial" w:hAnsi="Arial" w:cs="Arial"/>
                <w:sz w:val="20"/>
                <w:szCs w:val="20"/>
              </w:rPr>
              <w:t>NINGUNA</w:t>
            </w:r>
          </w:p>
        </w:tc>
      </w:tr>
      <w:tr w:rsidR="00D22804" w:rsidRPr="001E2038" w14:paraId="4F42C568" w14:textId="77777777" w:rsidTr="0068082C">
        <w:trPr>
          <w:cantSplit/>
        </w:trPr>
        <w:tc>
          <w:tcPr>
            <w:tcW w:w="0" w:type="auto"/>
          </w:tcPr>
          <w:p w14:paraId="223572D6" w14:textId="77777777" w:rsidR="00575CC6" w:rsidRDefault="00575CC6" w:rsidP="002D674B">
            <w:pPr>
              <w:rPr>
                <w:rFonts w:ascii="Arial" w:hAnsi="Arial" w:cs="Arial"/>
                <w:sz w:val="20"/>
                <w:szCs w:val="20"/>
              </w:rPr>
            </w:pPr>
            <w:r>
              <w:rPr>
                <w:rFonts w:ascii="Arial" w:hAnsi="Arial" w:cs="Arial"/>
                <w:sz w:val="20"/>
                <w:szCs w:val="20"/>
              </w:rPr>
              <w:t>15</w:t>
            </w:r>
          </w:p>
        </w:tc>
        <w:tc>
          <w:tcPr>
            <w:tcW w:w="2862" w:type="dxa"/>
          </w:tcPr>
          <w:p w14:paraId="778330DD" w14:textId="77777777" w:rsidR="00575CC6" w:rsidRDefault="00575CC6" w:rsidP="002D674B">
            <w:pPr>
              <w:rPr>
                <w:rFonts w:ascii="Arial" w:hAnsi="Arial" w:cs="Arial"/>
                <w:sz w:val="20"/>
                <w:szCs w:val="20"/>
              </w:rPr>
            </w:pPr>
            <w:r w:rsidRPr="00575CC6">
              <w:rPr>
                <w:rFonts w:ascii="Arial" w:hAnsi="Arial" w:cs="Arial"/>
                <w:sz w:val="20"/>
                <w:szCs w:val="20"/>
              </w:rPr>
              <w:t>Ley 527 de 1999</w:t>
            </w:r>
          </w:p>
        </w:tc>
        <w:tc>
          <w:tcPr>
            <w:tcW w:w="1046" w:type="dxa"/>
          </w:tcPr>
          <w:p w14:paraId="7EF6862B" w14:textId="77777777" w:rsidR="00575CC6" w:rsidRDefault="00575CC6" w:rsidP="002D674B">
            <w:pPr>
              <w:rPr>
                <w:rFonts w:ascii="Arial" w:hAnsi="Arial" w:cs="Arial"/>
                <w:sz w:val="20"/>
                <w:szCs w:val="20"/>
              </w:rPr>
            </w:pPr>
            <w:r>
              <w:rPr>
                <w:rFonts w:ascii="Arial" w:hAnsi="Arial" w:cs="Arial"/>
                <w:sz w:val="20"/>
                <w:szCs w:val="20"/>
              </w:rPr>
              <w:t>Ley</w:t>
            </w:r>
          </w:p>
        </w:tc>
        <w:tc>
          <w:tcPr>
            <w:tcW w:w="1302" w:type="dxa"/>
          </w:tcPr>
          <w:p w14:paraId="52861170" w14:textId="77777777" w:rsidR="00575CC6" w:rsidRDefault="00575CC6" w:rsidP="002D674B">
            <w:pPr>
              <w:rPr>
                <w:rFonts w:ascii="Arial" w:hAnsi="Arial" w:cs="Arial"/>
                <w:sz w:val="20"/>
                <w:szCs w:val="20"/>
              </w:rPr>
            </w:pPr>
            <w:r>
              <w:rPr>
                <w:rFonts w:ascii="Arial" w:hAnsi="Arial" w:cs="Arial"/>
                <w:sz w:val="20"/>
                <w:szCs w:val="20"/>
              </w:rPr>
              <w:t>Toda</w:t>
            </w:r>
          </w:p>
        </w:tc>
        <w:tc>
          <w:tcPr>
            <w:tcW w:w="6950" w:type="dxa"/>
          </w:tcPr>
          <w:p w14:paraId="7C57CC3A" w14:textId="5FBC4176" w:rsidR="00575CC6" w:rsidRPr="001E2038" w:rsidRDefault="00342430" w:rsidP="002D674B">
            <w:pPr>
              <w:rPr>
                <w:rFonts w:ascii="Arial" w:hAnsi="Arial" w:cs="Arial"/>
                <w:sz w:val="20"/>
                <w:szCs w:val="20"/>
              </w:rPr>
            </w:pPr>
            <w:r>
              <w:rPr>
                <w:rFonts w:ascii="Arial" w:hAnsi="Arial" w:cs="Arial"/>
                <w:sz w:val="20"/>
                <w:szCs w:val="20"/>
              </w:rPr>
              <w:t>NINGUNA</w:t>
            </w:r>
          </w:p>
        </w:tc>
      </w:tr>
      <w:tr w:rsidR="00D22804" w:rsidRPr="001E2038" w14:paraId="32C9A9AD" w14:textId="77777777" w:rsidTr="0068082C">
        <w:trPr>
          <w:cantSplit/>
        </w:trPr>
        <w:tc>
          <w:tcPr>
            <w:tcW w:w="0" w:type="auto"/>
          </w:tcPr>
          <w:p w14:paraId="4F9BF5D4" w14:textId="77777777" w:rsidR="00575CC6" w:rsidRDefault="00575CC6" w:rsidP="002D674B">
            <w:pPr>
              <w:rPr>
                <w:rFonts w:ascii="Arial" w:hAnsi="Arial" w:cs="Arial"/>
                <w:sz w:val="20"/>
                <w:szCs w:val="20"/>
              </w:rPr>
            </w:pPr>
            <w:r>
              <w:rPr>
                <w:rFonts w:ascii="Arial" w:hAnsi="Arial" w:cs="Arial"/>
                <w:sz w:val="20"/>
                <w:szCs w:val="20"/>
              </w:rPr>
              <w:t>16</w:t>
            </w:r>
          </w:p>
        </w:tc>
        <w:tc>
          <w:tcPr>
            <w:tcW w:w="2862" w:type="dxa"/>
          </w:tcPr>
          <w:p w14:paraId="2D32B80F" w14:textId="77777777" w:rsidR="00575CC6" w:rsidRPr="00575CC6" w:rsidRDefault="00575CC6" w:rsidP="002D674B">
            <w:pPr>
              <w:rPr>
                <w:rFonts w:ascii="Arial" w:hAnsi="Arial" w:cs="Arial"/>
                <w:sz w:val="20"/>
                <w:szCs w:val="20"/>
              </w:rPr>
            </w:pPr>
            <w:r w:rsidRPr="00575CC6">
              <w:rPr>
                <w:rFonts w:ascii="Arial" w:hAnsi="Arial" w:cs="Arial"/>
                <w:sz w:val="20"/>
                <w:szCs w:val="20"/>
              </w:rPr>
              <w:t>Ley 594 de 2000</w:t>
            </w:r>
          </w:p>
        </w:tc>
        <w:tc>
          <w:tcPr>
            <w:tcW w:w="1046" w:type="dxa"/>
          </w:tcPr>
          <w:p w14:paraId="0DCBDC76" w14:textId="77777777" w:rsidR="00575CC6" w:rsidRDefault="00575CC6" w:rsidP="002D674B">
            <w:pPr>
              <w:rPr>
                <w:rFonts w:ascii="Arial" w:hAnsi="Arial" w:cs="Arial"/>
                <w:sz w:val="20"/>
                <w:szCs w:val="20"/>
              </w:rPr>
            </w:pPr>
            <w:r>
              <w:rPr>
                <w:rFonts w:ascii="Arial" w:hAnsi="Arial" w:cs="Arial"/>
                <w:sz w:val="20"/>
                <w:szCs w:val="20"/>
              </w:rPr>
              <w:t>Ley</w:t>
            </w:r>
          </w:p>
        </w:tc>
        <w:tc>
          <w:tcPr>
            <w:tcW w:w="1302" w:type="dxa"/>
          </w:tcPr>
          <w:p w14:paraId="60D55981" w14:textId="77777777" w:rsidR="00575CC6" w:rsidRDefault="00575CC6" w:rsidP="002D674B">
            <w:pPr>
              <w:rPr>
                <w:rFonts w:ascii="Arial" w:hAnsi="Arial" w:cs="Arial"/>
                <w:sz w:val="20"/>
                <w:szCs w:val="20"/>
              </w:rPr>
            </w:pPr>
            <w:r>
              <w:rPr>
                <w:rFonts w:ascii="Arial" w:hAnsi="Arial" w:cs="Arial"/>
                <w:sz w:val="20"/>
                <w:szCs w:val="20"/>
              </w:rPr>
              <w:t>Toda</w:t>
            </w:r>
          </w:p>
        </w:tc>
        <w:tc>
          <w:tcPr>
            <w:tcW w:w="6950" w:type="dxa"/>
          </w:tcPr>
          <w:p w14:paraId="73D7A45E" w14:textId="0871E985" w:rsidR="00575CC6" w:rsidRPr="001E2038" w:rsidRDefault="00342430" w:rsidP="002D674B">
            <w:pPr>
              <w:rPr>
                <w:rFonts w:ascii="Arial" w:hAnsi="Arial" w:cs="Arial"/>
                <w:sz w:val="20"/>
                <w:szCs w:val="20"/>
              </w:rPr>
            </w:pPr>
            <w:r>
              <w:rPr>
                <w:rFonts w:ascii="Arial" w:hAnsi="Arial" w:cs="Arial"/>
                <w:sz w:val="20"/>
                <w:szCs w:val="20"/>
              </w:rPr>
              <w:t>NINGUNA</w:t>
            </w:r>
          </w:p>
        </w:tc>
      </w:tr>
      <w:tr w:rsidR="00D22804" w:rsidRPr="001E2038" w14:paraId="785A2FEF" w14:textId="77777777" w:rsidTr="0068082C">
        <w:trPr>
          <w:cantSplit/>
        </w:trPr>
        <w:tc>
          <w:tcPr>
            <w:tcW w:w="0" w:type="auto"/>
          </w:tcPr>
          <w:p w14:paraId="7D7F31AD" w14:textId="77777777" w:rsidR="00575CC6" w:rsidRDefault="00575CC6" w:rsidP="002D674B">
            <w:pPr>
              <w:rPr>
                <w:rFonts w:ascii="Arial" w:hAnsi="Arial" w:cs="Arial"/>
                <w:sz w:val="20"/>
                <w:szCs w:val="20"/>
              </w:rPr>
            </w:pPr>
            <w:r>
              <w:rPr>
                <w:rFonts w:ascii="Arial" w:hAnsi="Arial" w:cs="Arial"/>
                <w:sz w:val="20"/>
                <w:szCs w:val="20"/>
              </w:rPr>
              <w:t>17</w:t>
            </w:r>
          </w:p>
        </w:tc>
        <w:tc>
          <w:tcPr>
            <w:tcW w:w="2862" w:type="dxa"/>
          </w:tcPr>
          <w:p w14:paraId="13A1C644" w14:textId="77777777" w:rsidR="00575CC6" w:rsidRPr="00575CC6" w:rsidRDefault="00575CC6" w:rsidP="002D674B">
            <w:pPr>
              <w:rPr>
                <w:rFonts w:ascii="Arial" w:hAnsi="Arial" w:cs="Arial"/>
                <w:sz w:val="20"/>
                <w:szCs w:val="20"/>
              </w:rPr>
            </w:pPr>
            <w:r w:rsidRPr="00575CC6">
              <w:rPr>
                <w:rFonts w:ascii="Arial" w:hAnsi="Arial" w:cs="Arial"/>
                <w:sz w:val="20"/>
                <w:szCs w:val="20"/>
              </w:rPr>
              <w:t>L</w:t>
            </w:r>
            <w:r>
              <w:rPr>
                <w:rFonts w:ascii="Arial" w:hAnsi="Arial" w:cs="Arial"/>
                <w:sz w:val="20"/>
                <w:szCs w:val="20"/>
              </w:rPr>
              <w:t>ey</w:t>
            </w:r>
            <w:r w:rsidRPr="00575CC6">
              <w:rPr>
                <w:rFonts w:ascii="Arial" w:hAnsi="Arial" w:cs="Arial"/>
                <w:sz w:val="20"/>
                <w:szCs w:val="20"/>
              </w:rPr>
              <w:t xml:space="preserve"> </w:t>
            </w:r>
            <w:r>
              <w:rPr>
                <w:rFonts w:ascii="Arial" w:hAnsi="Arial" w:cs="Arial"/>
                <w:sz w:val="20"/>
                <w:szCs w:val="20"/>
              </w:rPr>
              <w:t xml:space="preserve">1266 de </w:t>
            </w:r>
            <w:r w:rsidRPr="00575CC6">
              <w:rPr>
                <w:rFonts w:ascii="Arial" w:hAnsi="Arial" w:cs="Arial"/>
                <w:sz w:val="20"/>
                <w:szCs w:val="20"/>
              </w:rPr>
              <w:t>200</w:t>
            </w:r>
            <w:r>
              <w:rPr>
                <w:rFonts w:ascii="Arial" w:hAnsi="Arial" w:cs="Arial"/>
                <w:sz w:val="20"/>
                <w:szCs w:val="20"/>
              </w:rPr>
              <w:t>8</w:t>
            </w:r>
          </w:p>
        </w:tc>
        <w:tc>
          <w:tcPr>
            <w:tcW w:w="1046" w:type="dxa"/>
          </w:tcPr>
          <w:p w14:paraId="403FE177" w14:textId="77777777" w:rsidR="00575CC6" w:rsidRDefault="00575CC6" w:rsidP="002D674B">
            <w:pPr>
              <w:rPr>
                <w:rFonts w:ascii="Arial" w:hAnsi="Arial" w:cs="Arial"/>
                <w:sz w:val="20"/>
                <w:szCs w:val="20"/>
              </w:rPr>
            </w:pPr>
            <w:r>
              <w:rPr>
                <w:rFonts w:ascii="Arial" w:hAnsi="Arial" w:cs="Arial"/>
                <w:sz w:val="20"/>
                <w:szCs w:val="20"/>
              </w:rPr>
              <w:t>Ley</w:t>
            </w:r>
          </w:p>
        </w:tc>
        <w:tc>
          <w:tcPr>
            <w:tcW w:w="1302" w:type="dxa"/>
          </w:tcPr>
          <w:p w14:paraId="6DB965FF" w14:textId="77777777" w:rsidR="00575CC6" w:rsidRDefault="00575CC6" w:rsidP="002D674B">
            <w:pPr>
              <w:rPr>
                <w:rFonts w:ascii="Arial" w:hAnsi="Arial" w:cs="Arial"/>
                <w:sz w:val="20"/>
                <w:szCs w:val="20"/>
              </w:rPr>
            </w:pPr>
            <w:r>
              <w:rPr>
                <w:rFonts w:ascii="Arial" w:hAnsi="Arial" w:cs="Arial"/>
                <w:sz w:val="20"/>
                <w:szCs w:val="20"/>
              </w:rPr>
              <w:t>Toda</w:t>
            </w:r>
          </w:p>
        </w:tc>
        <w:tc>
          <w:tcPr>
            <w:tcW w:w="6950" w:type="dxa"/>
          </w:tcPr>
          <w:p w14:paraId="7C8AEAAF" w14:textId="59CB8772" w:rsidR="00575CC6" w:rsidRPr="001E2038" w:rsidRDefault="00575CC6" w:rsidP="00342430">
            <w:pPr>
              <w:jc w:val="both"/>
              <w:rPr>
                <w:rFonts w:ascii="Arial" w:hAnsi="Arial" w:cs="Arial"/>
                <w:sz w:val="20"/>
                <w:szCs w:val="20"/>
              </w:rPr>
            </w:pPr>
            <w:r w:rsidRPr="00575CC6">
              <w:rPr>
                <w:rFonts w:ascii="Arial" w:hAnsi="Arial" w:cs="Arial"/>
                <w:sz w:val="20"/>
                <w:szCs w:val="20"/>
              </w:rPr>
              <w:t>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r w:rsidR="00342430">
              <w:rPr>
                <w:rFonts w:ascii="Arial" w:hAnsi="Arial" w:cs="Arial"/>
                <w:sz w:val="20"/>
                <w:szCs w:val="20"/>
              </w:rPr>
              <w:t>.</w:t>
            </w:r>
          </w:p>
        </w:tc>
      </w:tr>
      <w:tr w:rsidR="00D22804" w:rsidRPr="001E2038" w14:paraId="37D0108D" w14:textId="77777777" w:rsidTr="0068082C">
        <w:trPr>
          <w:cantSplit/>
        </w:trPr>
        <w:tc>
          <w:tcPr>
            <w:tcW w:w="0" w:type="auto"/>
          </w:tcPr>
          <w:p w14:paraId="36EDE779" w14:textId="77777777" w:rsidR="00575CC6" w:rsidRDefault="00575CC6" w:rsidP="00C75BAE">
            <w:pPr>
              <w:rPr>
                <w:rFonts w:ascii="Arial" w:hAnsi="Arial" w:cs="Arial"/>
                <w:sz w:val="20"/>
                <w:szCs w:val="20"/>
              </w:rPr>
            </w:pPr>
            <w:r>
              <w:rPr>
                <w:rFonts w:ascii="Arial" w:hAnsi="Arial" w:cs="Arial"/>
                <w:sz w:val="20"/>
                <w:szCs w:val="20"/>
              </w:rPr>
              <w:t>18</w:t>
            </w:r>
          </w:p>
        </w:tc>
        <w:tc>
          <w:tcPr>
            <w:tcW w:w="2862" w:type="dxa"/>
          </w:tcPr>
          <w:p w14:paraId="5FD5EC57" w14:textId="77777777" w:rsidR="00575CC6" w:rsidRPr="00575CC6" w:rsidRDefault="00575CC6" w:rsidP="00C75BAE">
            <w:pPr>
              <w:rPr>
                <w:rFonts w:ascii="Arial" w:hAnsi="Arial" w:cs="Arial"/>
                <w:sz w:val="20"/>
                <w:szCs w:val="20"/>
              </w:rPr>
            </w:pPr>
            <w:r w:rsidRPr="00575CC6">
              <w:rPr>
                <w:rFonts w:ascii="Arial" w:hAnsi="Arial" w:cs="Arial"/>
                <w:sz w:val="20"/>
                <w:szCs w:val="20"/>
              </w:rPr>
              <w:t>L</w:t>
            </w:r>
            <w:r>
              <w:rPr>
                <w:rFonts w:ascii="Arial" w:hAnsi="Arial" w:cs="Arial"/>
                <w:sz w:val="20"/>
                <w:szCs w:val="20"/>
              </w:rPr>
              <w:t>ey</w:t>
            </w:r>
            <w:r w:rsidRPr="00575CC6">
              <w:rPr>
                <w:rFonts w:ascii="Arial" w:hAnsi="Arial" w:cs="Arial"/>
                <w:sz w:val="20"/>
                <w:szCs w:val="20"/>
              </w:rPr>
              <w:t xml:space="preserve"> </w:t>
            </w:r>
            <w:r>
              <w:rPr>
                <w:rFonts w:ascii="Arial" w:hAnsi="Arial" w:cs="Arial"/>
                <w:sz w:val="20"/>
                <w:szCs w:val="20"/>
              </w:rPr>
              <w:t xml:space="preserve">1581 de </w:t>
            </w:r>
            <w:r w:rsidRPr="00575CC6">
              <w:rPr>
                <w:rFonts w:ascii="Arial" w:hAnsi="Arial" w:cs="Arial"/>
                <w:sz w:val="20"/>
                <w:szCs w:val="20"/>
              </w:rPr>
              <w:t>20</w:t>
            </w:r>
            <w:r>
              <w:rPr>
                <w:rFonts w:ascii="Arial" w:hAnsi="Arial" w:cs="Arial"/>
                <w:sz w:val="20"/>
                <w:szCs w:val="20"/>
              </w:rPr>
              <w:t>12</w:t>
            </w:r>
          </w:p>
        </w:tc>
        <w:tc>
          <w:tcPr>
            <w:tcW w:w="1046" w:type="dxa"/>
          </w:tcPr>
          <w:p w14:paraId="2CD8A836" w14:textId="77777777" w:rsidR="00575CC6" w:rsidRDefault="00575CC6" w:rsidP="00C75BAE">
            <w:pPr>
              <w:rPr>
                <w:rFonts w:ascii="Arial" w:hAnsi="Arial" w:cs="Arial"/>
                <w:sz w:val="20"/>
                <w:szCs w:val="20"/>
              </w:rPr>
            </w:pPr>
            <w:r>
              <w:rPr>
                <w:rFonts w:ascii="Arial" w:hAnsi="Arial" w:cs="Arial"/>
                <w:sz w:val="20"/>
                <w:szCs w:val="20"/>
              </w:rPr>
              <w:t>Ley</w:t>
            </w:r>
          </w:p>
        </w:tc>
        <w:tc>
          <w:tcPr>
            <w:tcW w:w="1302" w:type="dxa"/>
          </w:tcPr>
          <w:p w14:paraId="0EB9FAF5" w14:textId="77777777" w:rsidR="00575CC6" w:rsidRDefault="00575CC6" w:rsidP="00C75BAE">
            <w:pPr>
              <w:rPr>
                <w:rFonts w:ascii="Arial" w:hAnsi="Arial" w:cs="Arial"/>
                <w:sz w:val="20"/>
                <w:szCs w:val="20"/>
              </w:rPr>
            </w:pPr>
            <w:r>
              <w:rPr>
                <w:rFonts w:ascii="Arial" w:hAnsi="Arial" w:cs="Arial"/>
                <w:sz w:val="20"/>
                <w:szCs w:val="20"/>
              </w:rPr>
              <w:t>Toda</w:t>
            </w:r>
          </w:p>
        </w:tc>
        <w:tc>
          <w:tcPr>
            <w:tcW w:w="6950" w:type="dxa"/>
          </w:tcPr>
          <w:p w14:paraId="0FDD4C98" w14:textId="5277D24C" w:rsidR="00575CC6" w:rsidRPr="001E2038" w:rsidRDefault="00575CC6" w:rsidP="00342430">
            <w:pPr>
              <w:jc w:val="both"/>
              <w:rPr>
                <w:rFonts w:ascii="Arial" w:hAnsi="Arial" w:cs="Arial"/>
                <w:sz w:val="20"/>
                <w:szCs w:val="20"/>
              </w:rPr>
            </w:pPr>
            <w:r w:rsidRPr="00575CC6">
              <w:rPr>
                <w:rFonts w:ascii="Arial" w:hAnsi="Arial" w:cs="Arial"/>
                <w:sz w:val="20"/>
                <w:szCs w:val="20"/>
              </w:rPr>
              <w:t>Por la cual se dictan disposiciones generales para la protección de datos personales</w:t>
            </w:r>
            <w:r w:rsidR="00342430">
              <w:rPr>
                <w:rFonts w:ascii="Arial" w:hAnsi="Arial" w:cs="Arial"/>
                <w:sz w:val="20"/>
                <w:szCs w:val="20"/>
              </w:rPr>
              <w:t>.</w:t>
            </w:r>
          </w:p>
        </w:tc>
      </w:tr>
      <w:tr w:rsidR="00D22804" w:rsidRPr="001E2038" w14:paraId="676D32D5" w14:textId="77777777" w:rsidTr="0068082C">
        <w:trPr>
          <w:cantSplit/>
        </w:trPr>
        <w:tc>
          <w:tcPr>
            <w:tcW w:w="0" w:type="auto"/>
          </w:tcPr>
          <w:p w14:paraId="4417C6F1" w14:textId="77777777" w:rsidR="00575CC6" w:rsidRDefault="00575CC6" w:rsidP="00C75BAE">
            <w:pPr>
              <w:rPr>
                <w:rFonts w:ascii="Arial" w:hAnsi="Arial" w:cs="Arial"/>
                <w:sz w:val="20"/>
                <w:szCs w:val="20"/>
              </w:rPr>
            </w:pPr>
            <w:r>
              <w:rPr>
                <w:rFonts w:ascii="Arial" w:hAnsi="Arial" w:cs="Arial"/>
                <w:sz w:val="20"/>
                <w:szCs w:val="20"/>
              </w:rPr>
              <w:t>19</w:t>
            </w:r>
          </w:p>
        </w:tc>
        <w:tc>
          <w:tcPr>
            <w:tcW w:w="2862" w:type="dxa"/>
          </w:tcPr>
          <w:p w14:paraId="5F37DD98" w14:textId="77777777" w:rsidR="00575CC6" w:rsidRPr="00575CC6" w:rsidRDefault="00575CC6" w:rsidP="00C75BAE">
            <w:pPr>
              <w:rPr>
                <w:rFonts w:ascii="Arial" w:hAnsi="Arial" w:cs="Arial"/>
                <w:sz w:val="20"/>
                <w:szCs w:val="20"/>
              </w:rPr>
            </w:pPr>
            <w:r w:rsidRPr="00575CC6">
              <w:rPr>
                <w:rFonts w:ascii="Arial" w:hAnsi="Arial" w:cs="Arial"/>
                <w:sz w:val="20"/>
                <w:szCs w:val="20"/>
              </w:rPr>
              <w:t>L</w:t>
            </w:r>
            <w:r>
              <w:rPr>
                <w:rFonts w:ascii="Arial" w:hAnsi="Arial" w:cs="Arial"/>
                <w:sz w:val="20"/>
                <w:szCs w:val="20"/>
              </w:rPr>
              <w:t>ey</w:t>
            </w:r>
            <w:r w:rsidRPr="00575CC6">
              <w:rPr>
                <w:rFonts w:ascii="Arial" w:hAnsi="Arial" w:cs="Arial"/>
                <w:sz w:val="20"/>
                <w:szCs w:val="20"/>
              </w:rPr>
              <w:t xml:space="preserve"> </w:t>
            </w:r>
            <w:r>
              <w:rPr>
                <w:rFonts w:ascii="Arial" w:hAnsi="Arial" w:cs="Arial"/>
                <w:sz w:val="20"/>
                <w:szCs w:val="20"/>
              </w:rPr>
              <w:t xml:space="preserve">1712 de </w:t>
            </w:r>
            <w:r w:rsidRPr="00575CC6">
              <w:rPr>
                <w:rFonts w:ascii="Arial" w:hAnsi="Arial" w:cs="Arial"/>
                <w:sz w:val="20"/>
                <w:szCs w:val="20"/>
              </w:rPr>
              <w:t>20</w:t>
            </w:r>
            <w:r>
              <w:rPr>
                <w:rFonts w:ascii="Arial" w:hAnsi="Arial" w:cs="Arial"/>
                <w:sz w:val="20"/>
                <w:szCs w:val="20"/>
              </w:rPr>
              <w:t>14</w:t>
            </w:r>
          </w:p>
        </w:tc>
        <w:tc>
          <w:tcPr>
            <w:tcW w:w="1046" w:type="dxa"/>
          </w:tcPr>
          <w:p w14:paraId="7D3D0C72" w14:textId="77777777" w:rsidR="00575CC6" w:rsidRDefault="00575CC6" w:rsidP="00C75BAE">
            <w:pPr>
              <w:rPr>
                <w:rFonts w:ascii="Arial" w:hAnsi="Arial" w:cs="Arial"/>
                <w:sz w:val="20"/>
                <w:szCs w:val="20"/>
              </w:rPr>
            </w:pPr>
            <w:r>
              <w:rPr>
                <w:rFonts w:ascii="Arial" w:hAnsi="Arial" w:cs="Arial"/>
                <w:sz w:val="20"/>
                <w:szCs w:val="20"/>
              </w:rPr>
              <w:t>Ley</w:t>
            </w:r>
          </w:p>
        </w:tc>
        <w:tc>
          <w:tcPr>
            <w:tcW w:w="1302" w:type="dxa"/>
          </w:tcPr>
          <w:p w14:paraId="2A1377C3" w14:textId="77777777" w:rsidR="00575CC6" w:rsidRDefault="00575CC6" w:rsidP="00C75BAE">
            <w:pPr>
              <w:rPr>
                <w:rFonts w:ascii="Arial" w:hAnsi="Arial" w:cs="Arial"/>
                <w:sz w:val="20"/>
                <w:szCs w:val="20"/>
              </w:rPr>
            </w:pPr>
            <w:r>
              <w:rPr>
                <w:rFonts w:ascii="Arial" w:hAnsi="Arial" w:cs="Arial"/>
                <w:sz w:val="20"/>
                <w:szCs w:val="20"/>
              </w:rPr>
              <w:t>Toda</w:t>
            </w:r>
          </w:p>
        </w:tc>
        <w:tc>
          <w:tcPr>
            <w:tcW w:w="6950" w:type="dxa"/>
          </w:tcPr>
          <w:p w14:paraId="47E6418A" w14:textId="77777777" w:rsidR="00575CC6" w:rsidRPr="001E2038" w:rsidRDefault="00575CC6" w:rsidP="00342430">
            <w:pPr>
              <w:jc w:val="both"/>
              <w:rPr>
                <w:rFonts w:ascii="Arial" w:hAnsi="Arial" w:cs="Arial"/>
                <w:sz w:val="20"/>
                <w:szCs w:val="20"/>
              </w:rPr>
            </w:pPr>
            <w:r w:rsidRPr="00575CC6">
              <w:rPr>
                <w:rFonts w:ascii="Arial" w:hAnsi="Arial" w:cs="Arial"/>
                <w:sz w:val="20"/>
                <w:szCs w:val="20"/>
              </w:rPr>
              <w:t>Por medio de la cual se crea la Ley de Transparencia y del Derecho de Acceso a la Información Pública Nacional y se dictan otras disposiciones</w:t>
            </w:r>
          </w:p>
        </w:tc>
      </w:tr>
      <w:tr w:rsidR="00D22804" w:rsidRPr="001E2038" w14:paraId="06E1D124" w14:textId="77777777" w:rsidTr="0068082C">
        <w:trPr>
          <w:cantSplit/>
        </w:trPr>
        <w:tc>
          <w:tcPr>
            <w:tcW w:w="0" w:type="auto"/>
          </w:tcPr>
          <w:p w14:paraId="6343FE34" w14:textId="77777777" w:rsidR="00575CC6" w:rsidRDefault="00575CC6" w:rsidP="00C75BAE">
            <w:pPr>
              <w:rPr>
                <w:rFonts w:ascii="Arial" w:hAnsi="Arial" w:cs="Arial"/>
                <w:sz w:val="20"/>
                <w:szCs w:val="20"/>
              </w:rPr>
            </w:pPr>
            <w:r>
              <w:rPr>
                <w:rFonts w:ascii="Arial" w:hAnsi="Arial" w:cs="Arial"/>
                <w:sz w:val="20"/>
                <w:szCs w:val="20"/>
              </w:rPr>
              <w:t>20</w:t>
            </w:r>
          </w:p>
        </w:tc>
        <w:tc>
          <w:tcPr>
            <w:tcW w:w="2862" w:type="dxa"/>
          </w:tcPr>
          <w:p w14:paraId="427BEF27" w14:textId="77777777" w:rsidR="00575CC6" w:rsidRPr="00575CC6" w:rsidRDefault="00575CC6" w:rsidP="00C75BAE">
            <w:pPr>
              <w:rPr>
                <w:rFonts w:ascii="Arial" w:hAnsi="Arial" w:cs="Arial"/>
                <w:sz w:val="20"/>
                <w:szCs w:val="20"/>
              </w:rPr>
            </w:pPr>
            <w:r w:rsidRPr="00575CC6">
              <w:rPr>
                <w:rFonts w:ascii="Arial" w:hAnsi="Arial" w:cs="Arial"/>
                <w:sz w:val="20"/>
                <w:szCs w:val="20"/>
              </w:rPr>
              <w:t>L</w:t>
            </w:r>
            <w:r>
              <w:rPr>
                <w:rFonts w:ascii="Arial" w:hAnsi="Arial" w:cs="Arial"/>
                <w:sz w:val="20"/>
                <w:szCs w:val="20"/>
              </w:rPr>
              <w:t>ey</w:t>
            </w:r>
            <w:r w:rsidRPr="00575CC6">
              <w:rPr>
                <w:rFonts w:ascii="Arial" w:hAnsi="Arial" w:cs="Arial"/>
                <w:sz w:val="20"/>
                <w:szCs w:val="20"/>
              </w:rPr>
              <w:t xml:space="preserve"> </w:t>
            </w:r>
            <w:r>
              <w:rPr>
                <w:rFonts w:ascii="Arial" w:hAnsi="Arial" w:cs="Arial"/>
                <w:sz w:val="20"/>
                <w:szCs w:val="20"/>
              </w:rPr>
              <w:t xml:space="preserve">1757 de </w:t>
            </w:r>
            <w:r w:rsidRPr="00575CC6">
              <w:rPr>
                <w:rFonts w:ascii="Arial" w:hAnsi="Arial" w:cs="Arial"/>
                <w:sz w:val="20"/>
                <w:szCs w:val="20"/>
              </w:rPr>
              <w:t>20</w:t>
            </w:r>
            <w:r>
              <w:rPr>
                <w:rFonts w:ascii="Arial" w:hAnsi="Arial" w:cs="Arial"/>
                <w:sz w:val="20"/>
                <w:szCs w:val="20"/>
              </w:rPr>
              <w:t>15</w:t>
            </w:r>
          </w:p>
        </w:tc>
        <w:tc>
          <w:tcPr>
            <w:tcW w:w="1046" w:type="dxa"/>
          </w:tcPr>
          <w:p w14:paraId="279271FA" w14:textId="77777777" w:rsidR="00575CC6" w:rsidRDefault="00575CC6" w:rsidP="00C75BAE">
            <w:pPr>
              <w:rPr>
                <w:rFonts w:ascii="Arial" w:hAnsi="Arial" w:cs="Arial"/>
                <w:sz w:val="20"/>
                <w:szCs w:val="20"/>
              </w:rPr>
            </w:pPr>
            <w:r>
              <w:rPr>
                <w:rFonts w:ascii="Arial" w:hAnsi="Arial" w:cs="Arial"/>
                <w:sz w:val="20"/>
                <w:szCs w:val="20"/>
              </w:rPr>
              <w:t>Ley</w:t>
            </w:r>
          </w:p>
        </w:tc>
        <w:tc>
          <w:tcPr>
            <w:tcW w:w="1302" w:type="dxa"/>
          </w:tcPr>
          <w:p w14:paraId="382B503F" w14:textId="77777777" w:rsidR="00575CC6" w:rsidRDefault="00575CC6" w:rsidP="00C75BAE">
            <w:pPr>
              <w:rPr>
                <w:rFonts w:ascii="Arial" w:hAnsi="Arial" w:cs="Arial"/>
                <w:sz w:val="20"/>
                <w:szCs w:val="20"/>
              </w:rPr>
            </w:pPr>
            <w:r>
              <w:rPr>
                <w:rFonts w:ascii="Arial" w:hAnsi="Arial" w:cs="Arial"/>
                <w:sz w:val="20"/>
                <w:szCs w:val="20"/>
              </w:rPr>
              <w:t>Toda</w:t>
            </w:r>
          </w:p>
        </w:tc>
        <w:tc>
          <w:tcPr>
            <w:tcW w:w="6950" w:type="dxa"/>
          </w:tcPr>
          <w:p w14:paraId="70B26537" w14:textId="288D5EBA" w:rsidR="00575CC6" w:rsidRPr="001E2038" w:rsidRDefault="00575CC6" w:rsidP="00342430">
            <w:pPr>
              <w:jc w:val="both"/>
              <w:rPr>
                <w:rFonts w:ascii="Arial" w:hAnsi="Arial" w:cs="Arial"/>
                <w:sz w:val="20"/>
                <w:szCs w:val="20"/>
              </w:rPr>
            </w:pPr>
            <w:r w:rsidRPr="00575CC6">
              <w:rPr>
                <w:rFonts w:ascii="Arial" w:hAnsi="Arial" w:cs="Arial"/>
                <w:sz w:val="20"/>
                <w:szCs w:val="20"/>
              </w:rPr>
              <w:t>Por la cual se dictan disposiciones en materia de promoción y protección del derecho a la participación democrática</w:t>
            </w:r>
            <w:r w:rsidR="00342430">
              <w:rPr>
                <w:rFonts w:ascii="Arial" w:hAnsi="Arial" w:cs="Arial"/>
                <w:sz w:val="20"/>
                <w:szCs w:val="20"/>
              </w:rPr>
              <w:t>.</w:t>
            </w:r>
          </w:p>
        </w:tc>
      </w:tr>
      <w:tr w:rsidR="00D22804" w:rsidRPr="001E2038" w14:paraId="66F01BB5" w14:textId="77777777" w:rsidTr="0068082C">
        <w:trPr>
          <w:cantSplit/>
        </w:trPr>
        <w:tc>
          <w:tcPr>
            <w:tcW w:w="0" w:type="auto"/>
          </w:tcPr>
          <w:p w14:paraId="202103C2" w14:textId="77777777" w:rsidR="00575CC6" w:rsidRDefault="00E87192" w:rsidP="002D674B">
            <w:pPr>
              <w:rPr>
                <w:rFonts w:ascii="Arial" w:hAnsi="Arial" w:cs="Arial"/>
                <w:sz w:val="20"/>
                <w:szCs w:val="20"/>
              </w:rPr>
            </w:pPr>
            <w:r>
              <w:rPr>
                <w:rFonts w:ascii="Arial" w:hAnsi="Arial" w:cs="Arial"/>
                <w:sz w:val="20"/>
                <w:szCs w:val="20"/>
              </w:rPr>
              <w:t>21</w:t>
            </w:r>
          </w:p>
        </w:tc>
        <w:tc>
          <w:tcPr>
            <w:tcW w:w="2862" w:type="dxa"/>
          </w:tcPr>
          <w:p w14:paraId="2D99ED5D" w14:textId="77777777" w:rsidR="00575CC6" w:rsidRPr="00575CC6" w:rsidRDefault="00E87192" w:rsidP="002D674B">
            <w:pPr>
              <w:rPr>
                <w:rFonts w:ascii="Arial" w:hAnsi="Arial" w:cs="Arial"/>
                <w:sz w:val="20"/>
                <w:szCs w:val="20"/>
              </w:rPr>
            </w:pPr>
            <w:r w:rsidRPr="00E87192">
              <w:rPr>
                <w:rFonts w:ascii="Arial" w:hAnsi="Arial" w:cs="Arial"/>
                <w:sz w:val="20"/>
                <w:szCs w:val="20"/>
              </w:rPr>
              <w:t>Decreto 1078 de 2015</w:t>
            </w:r>
          </w:p>
        </w:tc>
        <w:tc>
          <w:tcPr>
            <w:tcW w:w="1046" w:type="dxa"/>
          </w:tcPr>
          <w:p w14:paraId="0533D1FE" w14:textId="77777777" w:rsidR="00575CC6" w:rsidRDefault="00E87192" w:rsidP="002D674B">
            <w:pPr>
              <w:rPr>
                <w:rFonts w:ascii="Arial" w:hAnsi="Arial" w:cs="Arial"/>
                <w:sz w:val="20"/>
                <w:szCs w:val="20"/>
              </w:rPr>
            </w:pPr>
            <w:r>
              <w:rPr>
                <w:rFonts w:ascii="Arial" w:hAnsi="Arial" w:cs="Arial"/>
                <w:sz w:val="20"/>
                <w:szCs w:val="20"/>
              </w:rPr>
              <w:t>Decreto</w:t>
            </w:r>
          </w:p>
        </w:tc>
        <w:tc>
          <w:tcPr>
            <w:tcW w:w="1302" w:type="dxa"/>
          </w:tcPr>
          <w:p w14:paraId="300BC282" w14:textId="77777777" w:rsidR="00575CC6" w:rsidRDefault="00530B53" w:rsidP="002D674B">
            <w:pPr>
              <w:rPr>
                <w:rFonts w:ascii="Arial" w:hAnsi="Arial" w:cs="Arial"/>
                <w:sz w:val="20"/>
                <w:szCs w:val="20"/>
              </w:rPr>
            </w:pPr>
            <w:r w:rsidRPr="00530B53">
              <w:rPr>
                <w:rFonts w:ascii="Arial" w:hAnsi="Arial" w:cs="Arial"/>
                <w:sz w:val="20"/>
                <w:szCs w:val="20"/>
              </w:rPr>
              <w:t>2.2.9.1.1.1</w:t>
            </w:r>
            <w:r>
              <w:rPr>
                <w:rFonts w:ascii="Arial" w:hAnsi="Arial" w:cs="Arial"/>
                <w:sz w:val="20"/>
                <w:szCs w:val="20"/>
              </w:rPr>
              <w:t xml:space="preserve"> a </w:t>
            </w:r>
            <w:r w:rsidRPr="00530B53">
              <w:rPr>
                <w:rFonts w:ascii="Arial" w:hAnsi="Arial" w:cs="Arial"/>
                <w:sz w:val="20"/>
                <w:szCs w:val="20"/>
              </w:rPr>
              <w:t>2.2.9.1.4.2</w:t>
            </w:r>
            <w:r>
              <w:rPr>
                <w:rFonts w:ascii="Arial" w:hAnsi="Arial" w:cs="Arial"/>
                <w:sz w:val="20"/>
                <w:szCs w:val="20"/>
              </w:rPr>
              <w:t xml:space="preserve">, </w:t>
            </w:r>
            <w:r w:rsidRPr="00530B53">
              <w:rPr>
                <w:rFonts w:ascii="Arial" w:hAnsi="Arial" w:cs="Arial"/>
                <w:sz w:val="20"/>
                <w:szCs w:val="20"/>
              </w:rPr>
              <w:t>2.2.10.2.1</w:t>
            </w:r>
            <w:r>
              <w:rPr>
                <w:rFonts w:ascii="Arial" w:hAnsi="Arial" w:cs="Arial"/>
                <w:sz w:val="20"/>
                <w:szCs w:val="20"/>
              </w:rPr>
              <w:t>,</w:t>
            </w:r>
            <w:r w:rsidRPr="00530B53">
              <w:rPr>
                <w:rFonts w:ascii="Arial" w:hAnsi="Arial" w:cs="Arial"/>
                <w:sz w:val="20"/>
                <w:szCs w:val="20"/>
              </w:rPr>
              <w:t xml:space="preserve"> 2.2.10.2.2</w:t>
            </w:r>
            <w:r>
              <w:rPr>
                <w:rFonts w:ascii="Arial" w:hAnsi="Arial" w:cs="Arial"/>
                <w:sz w:val="20"/>
                <w:szCs w:val="20"/>
              </w:rPr>
              <w:t>,</w:t>
            </w:r>
            <w:r w:rsidR="000D1686" w:rsidRPr="000D1686">
              <w:rPr>
                <w:rFonts w:ascii="Arial" w:hAnsi="Arial" w:cs="Arial"/>
                <w:sz w:val="20"/>
                <w:szCs w:val="20"/>
              </w:rPr>
              <w:t xml:space="preserve"> 2.2.17.4.7</w:t>
            </w:r>
          </w:p>
        </w:tc>
        <w:tc>
          <w:tcPr>
            <w:tcW w:w="6950" w:type="dxa"/>
          </w:tcPr>
          <w:p w14:paraId="4E31C8C5" w14:textId="326A06A3" w:rsidR="00575CC6" w:rsidRPr="00575CC6" w:rsidRDefault="00E87192" w:rsidP="00342430">
            <w:pPr>
              <w:jc w:val="both"/>
              <w:rPr>
                <w:rFonts w:ascii="Arial" w:hAnsi="Arial" w:cs="Arial"/>
                <w:sz w:val="20"/>
                <w:szCs w:val="20"/>
              </w:rPr>
            </w:pPr>
            <w:r w:rsidRPr="00E87192">
              <w:rPr>
                <w:rFonts w:ascii="Arial" w:hAnsi="Arial" w:cs="Arial"/>
                <w:sz w:val="20"/>
                <w:szCs w:val="20"/>
              </w:rPr>
              <w:t>Por medio del cual se expide el decreto único reglamentario del sector de tecnologías de la información y las comunicaciones</w:t>
            </w:r>
            <w:r w:rsidR="00342430">
              <w:rPr>
                <w:rFonts w:ascii="Arial" w:hAnsi="Arial" w:cs="Arial"/>
                <w:sz w:val="20"/>
                <w:szCs w:val="20"/>
              </w:rPr>
              <w:t>.</w:t>
            </w:r>
          </w:p>
        </w:tc>
      </w:tr>
      <w:tr w:rsidR="00D22804" w:rsidRPr="001E2038" w14:paraId="4347AB43" w14:textId="77777777" w:rsidTr="0068082C">
        <w:trPr>
          <w:cantSplit/>
        </w:trPr>
        <w:tc>
          <w:tcPr>
            <w:tcW w:w="0" w:type="auto"/>
          </w:tcPr>
          <w:p w14:paraId="2463EF68" w14:textId="77777777" w:rsidR="00E87192" w:rsidRDefault="00E87192" w:rsidP="002D674B">
            <w:pPr>
              <w:rPr>
                <w:rFonts w:ascii="Arial" w:hAnsi="Arial" w:cs="Arial"/>
                <w:sz w:val="20"/>
                <w:szCs w:val="20"/>
              </w:rPr>
            </w:pPr>
            <w:r>
              <w:rPr>
                <w:rFonts w:ascii="Arial" w:hAnsi="Arial" w:cs="Arial"/>
                <w:sz w:val="20"/>
                <w:szCs w:val="20"/>
              </w:rPr>
              <w:t>22</w:t>
            </w:r>
          </w:p>
        </w:tc>
        <w:tc>
          <w:tcPr>
            <w:tcW w:w="2862" w:type="dxa"/>
          </w:tcPr>
          <w:p w14:paraId="28E43DE7" w14:textId="77777777" w:rsidR="00E87192" w:rsidRPr="00E87192" w:rsidRDefault="00E87192" w:rsidP="002D674B">
            <w:pPr>
              <w:rPr>
                <w:rFonts w:ascii="Arial" w:hAnsi="Arial" w:cs="Arial"/>
                <w:sz w:val="20"/>
                <w:szCs w:val="20"/>
              </w:rPr>
            </w:pPr>
            <w:r>
              <w:rPr>
                <w:rFonts w:ascii="Arial" w:hAnsi="Arial" w:cs="Arial"/>
                <w:sz w:val="20"/>
                <w:szCs w:val="20"/>
              </w:rPr>
              <w:t>D</w:t>
            </w:r>
            <w:r w:rsidRPr="00E87192">
              <w:rPr>
                <w:rFonts w:ascii="Arial" w:hAnsi="Arial" w:cs="Arial"/>
                <w:sz w:val="20"/>
                <w:szCs w:val="20"/>
              </w:rPr>
              <w:t xml:space="preserve">ecreto </w:t>
            </w:r>
            <w:r>
              <w:rPr>
                <w:rFonts w:ascii="Arial" w:hAnsi="Arial" w:cs="Arial"/>
                <w:sz w:val="20"/>
                <w:szCs w:val="20"/>
              </w:rPr>
              <w:t>L</w:t>
            </w:r>
            <w:r w:rsidRPr="00E87192">
              <w:rPr>
                <w:rFonts w:ascii="Arial" w:hAnsi="Arial" w:cs="Arial"/>
                <w:sz w:val="20"/>
                <w:szCs w:val="20"/>
              </w:rPr>
              <w:t>egislativo 491 de 2020</w:t>
            </w:r>
          </w:p>
        </w:tc>
        <w:tc>
          <w:tcPr>
            <w:tcW w:w="1046" w:type="dxa"/>
          </w:tcPr>
          <w:p w14:paraId="57278794" w14:textId="77777777" w:rsidR="00E87192" w:rsidRDefault="00E87192" w:rsidP="002D674B">
            <w:pPr>
              <w:rPr>
                <w:rFonts w:ascii="Arial" w:hAnsi="Arial" w:cs="Arial"/>
                <w:sz w:val="20"/>
                <w:szCs w:val="20"/>
              </w:rPr>
            </w:pPr>
            <w:r>
              <w:rPr>
                <w:rFonts w:ascii="Arial" w:hAnsi="Arial" w:cs="Arial"/>
                <w:sz w:val="20"/>
                <w:szCs w:val="20"/>
              </w:rPr>
              <w:t>Decreto</w:t>
            </w:r>
          </w:p>
        </w:tc>
        <w:tc>
          <w:tcPr>
            <w:tcW w:w="1302" w:type="dxa"/>
          </w:tcPr>
          <w:p w14:paraId="22892F9B" w14:textId="77777777" w:rsidR="00E87192" w:rsidRDefault="00E87192" w:rsidP="002D674B">
            <w:pPr>
              <w:rPr>
                <w:rFonts w:ascii="Arial" w:hAnsi="Arial" w:cs="Arial"/>
                <w:sz w:val="20"/>
                <w:szCs w:val="20"/>
              </w:rPr>
            </w:pPr>
            <w:r>
              <w:rPr>
                <w:rFonts w:ascii="Arial" w:hAnsi="Arial" w:cs="Arial"/>
                <w:sz w:val="20"/>
                <w:szCs w:val="20"/>
              </w:rPr>
              <w:t>Todo</w:t>
            </w:r>
          </w:p>
        </w:tc>
        <w:tc>
          <w:tcPr>
            <w:tcW w:w="6950" w:type="dxa"/>
          </w:tcPr>
          <w:p w14:paraId="03F403EF" w14:textId="592D1ACD" w:rsidR="00E87192" w:rsidRPr="00E87192" w:rsidRDefault="00530B53" w:rsidP="00342430">
            <w:pPr>
              <w:jc w:val="both"/>
              <w:rPr>
                <w:rFonts w:ascii="Arial" w:hAnsi="Arial" w:cs="Arial"/>
                <w:sz w:val="20"/>
                <w:szCs w:val="20"/>
              </w:rPr>
            </w:pPr>
            <w:r w:rsidRPr="00530B53">
              <w:rPr>
                <w:rFonts w:ascii="Arial" w:hAnsi="Arial" w:cs="Arial"/>
                <w:sz w:val="20"/>
                <w:szCs w:val="20"/>
              </w:rPr>
              <w:t>Por el cual se adoptan medidas de urgencia para garantizar la atención y la prestación de los servicios por parte de las autoridades públicas y los particulares que cumplan funciones públicas y se toman medidas para la protección laboral y de los contratistas de prestación de servicios de las entidades públicas, en el marco del Estado de Emergencia Económica, Social y Ecológica</w:t>
            </w:r>
            <w:r w:rsidR="00342430">
              <w:rPr>
                <w:rFonts w:ascii="Arial" w:hAnsi="Arial" w:cs="Arial"/>
                <w:sz w:val="20"/>
                <w:szCs w:val="20"/>
              </w:rPr>
              <w:t>.</w:t>
            </w:r>
          </w:p>
        </w:tc>
      </w:tr>
      <w:tr w:rsidR="00D22804" w:rsidRPr="001E2038" w14:paraId="5F44A3AA" w14:textId="77777777" w:rsidTr="0068082C">
        <w:trPr>
          <w:cantSplit/>
        </w:trPr>
        <w:tc>
          <w:tcPr>
            <w:tcW w:w="0" w:type="auto"/>
          </w:tcPr>
          <w:p w14:paraId="2F81EF19" w14:textId="77777777" w:rsidR="00530B53" w:rsidRDefault="00CD6043" w:rsidP="002D674B">
            <w:pPr>
              <w:rPr>
                <w:rFonts w:ascii="Arial" w:hAnsi="Arial" w:cs="Arial"/>
                <w:sz w:val="20"/>
                <w:szCs w:val="20"/>
              </w:rPr>
            </w:pPr>
            <w:r>
              <w:rPr>
                <w:rFonts w:ascii="Arial" w:hAnsi="Arial" w:cs="Arial"/>
                <w:sz w:val="20"/>
                <w:szCs w:val="20"/>
              </w:rPr>
              <w:t>23</w:t>
            </w:r>
          </w:p>
        </w:tc>
        <w:tc>
          <w:tcPr>
            <w:tcW w:w="2862" w:type="dxa"/>
          </w:tcPr>
          <w:p w14:paraId="26BE700B" w14:textId="77777777" w:rsidR="00530B53" w:rsidRDefault="00CD6043" w:rsidP="002D674B">
            <w:pPr>
              <w:rPr>
                <w:rFonts w:ascii="Arial" w:hAnsi="Arial" w:cs="Arial"/>
                <w:sz w:val="20"/>
                <w:szCs w:val="20"/>
              </w:rPr>
            </w:pPr>
            <w:r>
              <w:rPr>
                <w:rFonts w:ascii="Arial" w:hAnsi="Arial" w:cs="Arial"/>
                <w:sz w:val="20"/>
                <w:szCs w:val="20"/>
              </w:rPr>
              <w:t>Ley 2052 de 2020</w:t>
            </w:r>
          </w:p>
        </w:tc>
        <w:tc>
          <w:tcPr>
            <w:tcW w:w="1046" w:type="dxa"/>
          </w:tcPr>
          <w:p w14:paraId="72DD274A" w14:textId="77777777" w:rsidR="00530B53" w:rsidRDefault="00CD6043" w:rsidP="002D674B">
            <w:pPr>
              <w:rPr>
                <w:rFonts w:ascii="Arial" w:hAnsi="Arial" w:cs="Arial"/>
                <w:sz w:val="20"/>
                <w:szCs w:val="20"/>
              </w:rPr>
            </w:pPr>
            <w:r>
              <w:rPr>
                <w:rFonts w:ascii="Arial" w:hAnsi="Arial" w:cs="Arial"/>
                <w:sz w:val="20"/>
                <w:szCs w:val="20"/>
              </w:rPr>
              <w:t>Ley</w:t>
            </w:r>
          </w:p>
        </w:tc>
        <w:tc>
          <w:tcPr>
            <w:tcW w:w="1302" w:type="dxa"/>
          </w:tcPr>
          <w:p w14:paraId="29394529" w14:textId="77777777" w:rsidR="00530B53" w:rsidRDefault="00CD6043" w:rsidP="002D674B">
            <w:pPr>
              <w:rPr>
                <w:rFonts w:ascii="Arial" w:hAnsi="Arial" w:cs="Arial"/>
                <w:sz w:val="20"/>
                <w:szCs w:val="20"/>
              </w:rPr>
            </w:pPr>
            <w:r>
              <w:rPr>
                <w:rFonts w:ascii="Arial" w:hAnsi="Arial" w:cs="Arial"/>
                <w:sz w:val="20"/>
                <w:szCs w:val="20"/>
              </w:rPr>
              <w:t>Todo</w:t>
            </w:r>
          </w:p>
        </w:tc>
        <w:tc>
          <w:tcPr>
            <w:tcW w:w="6950" w:type="dxa"/>
          </w:tcPr>
          <w:p w14:paraId="151EF25D" w14:textId="77777777" w:rsidR="00530B53" w:rsidRPr="00530B53" w:rsidRDefault="00CD6043" w:rsidP="00342430">
            <w:pPr>
              <w:jc w:val="both"/>
              <w:rPr>
                <w:rFonts w:ascii="Arial" w:hAnsi="Arial" w:cs="Arial"/>
                <w:sz w:val="20"/>
                <w:szCs w:val="20"/>
              </w:rPr>
            </w:pPr>
            <w:r w:rsidRPr="00CD6043">
              <w:rPr>
                <w:rFonts w:ascii="Arial" w:hAnsi="Arial" w:cs="Arial"/>
                <w:sz w:val="20"/>
                <w:szCs w:val="20"/>
              </w:rPr>
              <w:t>Por medio de la cual se establecen disposiciones transversales a la Rama Ejecutiva del nivel nacional y territorial y a los particulares que cumplan funciones públicas y/o administrativas, en relación con la racionalización de trámites y se dictan otras disposiciones.</w:t>
            </w:r>
          </w:p>
        </w:tc>
      </w:tr>
      <w:tr w:rsidR="00CD6043" w:rsidRPr="001E2038" w14:paraId="3556B1F9" w14:textId="77777777" w:rsidTr="0068082C">
        <w:trPr>
          <w:cantSplit/>
        </w:trPr>
        <w:tc>
          <w:tcPr>
            <w:tcW w:w="0" w:type="auto"/>
          </w:tcPr>
          <w:p w14:paraId="67478E57" w14:textId="77777777" w:rsidR="00CD6043" w:rsidRDefault="00CD6043" w:rsidP="002D674B">
            <w:pPr>
              <w:rPr>
                <w:rFonts w:ascii="Arial" w:hAnsi="Arial" w:cs="Arial"/>
                <w:sz w:val="20"/>
                <w:szCs w:val="20"/>
              </w:rPr>
            </w:pPr>
            <w:r>
              <w:rPr>
                <w:rFonts w:ascii="Arial" w:hAnsi="Arial" w:cs="Arial"/>
                <w:sz w:val="20"/>
                <w:szCs w:val="20"/>
              </w:rPr>
              <w:t>24</w:t>
            </w:r>
          </w:p>
        </w:tc>
        <w:tc>
          <w:tcPr>
            <w:tcW w:w="2862" w:type="dxa"/>
          </w:tcPr>
          <w:p w14:paraId="3F2C9ACA" w14:textId="77777777" w:rsidR="00CD6043" w:rsidRDefault="00CD6043" w:rsidP="002D674B">
            <w:pPr>
              <w:rPr>
                <w:rFonts w:ascii="Arial" w:hAnsi="Arial" w:cs="Arial"/>
                <w:sz w:val="20"/>
                <w:szCs w:val="20"/>
              </w:rPr>
            </w:pPr>
            <w:r>
              <w:rPr>
                <w:rFonts w:ascii="Arial" w:hAnsi="Arial" w:cs="Arial"/>
                <w:sz w:val="20"/>
                <w:szCs w:val="20"/>
              </w:rPr>
              <w:t>Ley 1753 de 2015</w:t>
            </w:r>
          </w:p>
        </w:tc>
        <w:tc>
          <w:tcPr>
            <w:tcW w:w="1046" w:type="dxa"/>
          </w:tcPr>
          <w:p w14:paraId="2D3B028A" w14:textId="77777777" w:rsidR="00CD6043" w:rsidRDefault="00CD6043" w:rsidP="002D674B">
            <w:pPr>
              <w:rPr>
                <w:rFonts w:ascii="Arial" w:hAnsi="Arial" w:cs="Arial"/>
                <w:sz w:val="20"/>
                <w:szCs w:val="20"/>
              </w:rPr>
            </w:pPr>
            <w:r>
              <w:rPr>
                <w:rFonts w:ascii="Arial" w:hAnsi="Arial" w:cs="Arial"/>
                <w:sz w:val="20"/>
                <w:szCs w:val="20"/>
              </w:rPr>
              <w:t xml:space="preserve">Ley </w:t>
            </w:r>
          </w:p>
        </w:tc>
        <w:tc>
          <w:tcPr>
            <w:tcW w:w="1302" w:type="dxa"/>
          </w:tcPr>
          <w:p w14:paraId="4BDD22BA" w14:textId="77777777" w:rsidR="00CD6043" w:rsidRDefault="00CD6043" w:rsidP="002D674B">
            <w:pPr>
              <w:rPr>
                <w:rFonts w:ascii="Arial" w:hAnsi="Arial" w:cs="Arial"/>
                <w:sz w:val="20"/>
                <w:szCs w:val="20"/>
              </w:rPr>
            </w:pPr>
            <w:r>
              <w:rPr>
                <w:rFonts w:ascii="Arial" w:hAnsi="Arial" w:cs="Arial"/>
                <w:sz w:val="20"/>
                <w:szCs w:val="20"/>
              </w:rPr>
              <w:t>45</w:t>
            </w:r>
          </w:p>
        </w:tc>
        <w:tc>
          <w:tcPr>
            <w:tcW w:w="6950" w:type="dxa"/>
          </w:tcPr>
          <w:p w14:paraId="7D8A150E" w14:textId="77777777" w:rsidR="00CD6043" w:rsidRPr="00CD6043" w:rsidRDefault="00CD6043" w:rsidP="00CD6043">
            <w:pPr>
              <w:rPr>
                <w:rFonts w:ascii="Arial" w:hAnsi="Arial" w:cs="Arial"/>
                <w:sz w:val="20"/>
                <w:szCs w:val="20"/>
              </w:rPr>
            </w:pPr>
            <w:r w:rsidRPr="00CD6043">
              <w:rPr>
                <w:rFonts w:ascii="Arial" w:hAnsi="Arial" w:cs="Arial"/>
                <w:sz w:val="20"/>
                <w:szCs w:val="20"/>
              </w:rPr>
              <w:t>Por la cual se expide el Plan Nacional de Desarrollo 2014-2018 “Todos por un nuevo país”.</w:t>
            </w:r>
          </w:p>
        </w:tc>
      </w:tr>
      <w:tr w:rsidR="00F1266D" w:rsidRPr="001E2038" w14:paraId="3B1A0854" w14:textId="77777777" w:rsidTr="0068082C">
        <w:trPr>
          <w:cantSplit/>
        </w:trPr>
        <w:tc>
          <w:tcPr>
            <w:tcW w:w="0" w:type="auto"/>
          </w:tcPr>
          <w:p w14:paraId="59F668E9" w14:textId="77777777" w:rsidR="00F1266D" w:rsidRDefault="00F1266D" w:rsidP="002D674B">
            <w:pPr>
              <w:rPr>
                <w:rFonts w:ascii="Arial" w:hAnsi="Arial" w:cs="Arial"/>
                <w:sz w:val="20"/>
                <w:szCs w:val="20"/>
              </w:rPr>
            </w:pPr>
            <w:r>
              <w:rPr>
                <w:rFonts w:ascii="Arial" w:hAnsi="Arial" w:cs="Arial"/>
                <w:sz w:val="20"/>
                <w:szCs w:val="20"/>
              </w:rPr>
              <w:t>25</w:t>
            </w:r>
          </w:p>
        </w:tc>
        <w:tc>
          <w:tcPr>
            <w:tcW w:w="2862" w:type="dxa"/>
          </w:tcPr>
          <w:p w14:paraId="5D23891C" w14:textId="77777777" w:rsidR="00F1266D" w:rsidRDefault="00F1266D" w:rsidP="002D674B">
            <w:pPr>
              <w:rPr>
                <w:rFonts w:ascii="Arial" w:hAnsi="Arial" w:cs="Arial"/>
                <w:sz w:val="20"/>
                <w:szCs w:val="20"/>
              </w:rPr>
            </w:pPr>
            <w:r w:rsidRPr="00F1266D">
              <w:rPr>
                <w:rFonts w:ascii="Arial" w:hAnsi="Arial" w:cs="Arial"/>
                <w:sz w:val="20"/>
                <w:szCs w:val="20"/>
              </w:rPr>
              <w:t>Decreto 2693 de 2012</w:t>
            </w:r>
          </w:p>
        </w:tc>
        <w:tc>
          <w:tcPr>
            <w:tcW w:w="1046" w:type="dxa"/>
          </w:tcPr>
          <w:p w14:paraId="374FE88A" w14:textId="77777777" w:rsidR="00F1266D" w:rsidRDefault="00F1266D" w:rsidP="002D674B">
            <w:pPr>
              <w:rPr>
                <w:rFonts w:ascii="Arial" w:hAnsi="Arial" w:cs="Arial"/>
                <w:sz w:val="20"/>
                <w:szCs w:val="20"/>
              </w:rPr>
            </w:pPr>
            <w:r>
              <w:rPr>
                <w:rFonts w:ascii="Arial" w:hAnsi="Arial" w:cs="Arial"/>
                <w:sz w:val="20"/>
                <w:szCs w:val="20"/>
              </w:rPr>
              <w:t>Decreto</w:t>
            </w:r>
          </w:p>
        </w:tc>
        <w:tc>
          <w:tcPr>
            <w:tcW w:w="1302" w:type="dxa"/>
          </w:tcPr>
          <w:p w14:paraId="0F98C928" w14:textId="77777777" w:rsidR="00F1266D" w:rsidRDefault="00F1266D" w:rsidP="002D674B">
            <w:pPr>
              <w:rPr>
                <w:rFonts w:ascii="Arial" w:hAnsi="Arial" w:cs="Arial"/>
                <w:sz w:val="20"/>
                <w:szCs w:val="20"/>
              </w:rPr>
            </w:pPr>
            <w:r>
              <w:rPr>
                <w:rFonts w:ascii="Arial" w:hAnsi="Arial" w:cs="Arial"/>
                <w:sz w:val="20"/>
                <w:szCs w:val="20"/>
              </w:rPr>
              <w:t>Todo</w:t>
            </w:r>
          </w:p>
        </w:tc>
        <w:tc>
          <w:tcPr>
            <w:tcW w:w="6950" w:type="dxa"/>
          </w:tcPr>
          <w:p w14:paraId="7369C0E5" w14:textId="62184C1F" w:rsidR="00F1266D" w:rsidRPr="00CD6043" w:rsidRDefault="00F1266D" w:rsidP="00342430">
            <w:pPr>
              <w:jc w:val="both"/>
              <w:rPr>
                <w:rFonts w:ascii="Arial" w:hAnsi="Arial" w:cs="Arial"/>
                <w:sz w:val="20"/>
                <w:szCs w:val="20"/>
              </w:rPr>
            </w:pPr>
            <w:r w:rsidRPr="00F1266D">
              <w:rPr>
                <w:rFonts w:ascii="Arial" w:hAnsi="Arial" w:cs="Arial"/>
                <w:sz w:val="20"/>
                <w:szCs w:val="20"/>
              </w:rPr>
              <w:t>Por el cual se establecen los lineamentos generales de la Estrategia de Gobierno en Línea de la República de Colombia, se reglamentan parcialmente las Leyes 1341 de 2009, 1450 de 2011, y se dictan otras disposiciones</w:t>
            </w:r>
            <w:r w:rsidR="00342430">
              <w:rPr>
                <w:rFonts w:ascii="Arial" w:hAnsi="Arial" w:cs="Arial"/>
                <w:sz w:val="20"/>
                <w:szCs w:val="20"/>
              </w:rPr>
              <w:t>.</w:t>
            </w:r>
          </w:p>
        </w:tc>
      </w:tr>
      <w:tr w:rsidR="00F1266D" w:rsidRPr="001E2038" w14:paraId="0F901EA4" w14:textId="77777777" w:rsidTr="0068082C">
        <w:trPr>
          <w:cantSplit/>
        </w:trPr>
        <w:tc>
          <w:tcPr>
            <w:tcW w:w="0" w:type="auto"/>
          </w:tcPr>
          <w:p w14:paraId="70BE5129" w14:textId="77777777" w:rsidR="00F1266D" w:rsidRDefault="00F1266D" w:rsidP="002D674B">
            <w:pPr>
              <w:rPr>
                <w:rFonts w:ascii="Arial" w:hAnsi="Arial" w:cs="Arial"/>
                <w:sz w:val="20"/>
                <w:szCs w:val="20"/>
              </w:rPr>
            </w:pPr>
            <w:r>
              <w:rPr>
                <w:rFonts w:ascii="Arial" w:hAnsi="Arial" w:cs="Arial"/>
                <w:sz w:val="20"/>
                <w:szCs w:val="20"/>
              </w:rPr>
              <w:t>26</w:t>
            </w:r>
          </w:p>
        </w:tc>
        <w:tc>
          <w:tcPr>
            <w:tcW w:w="2862" w:type="dxa"/>
          </w:tcPr>
          <w:p w14:paraId="503C7925" w14:textId="77777777" w:rsidR="00F1266D" w:rsidRPr="00F1266D" w:rsidRDefault="00F1266D" w:rsidP="002D674B">
            <w:pPr>
              <w:rPr>
                <w:rFonts w:ascii="Arial" w:hAnsi="Arial" w:cs="Arial"/>
                <w:sz w:val="20"/>
                <w:szCs w:val="20"/>
              </w:rPr>
            </w:pPr>
            <w:proofErr w:type="spellStart"/>
            <w:r w:rsidRPr="00F1266D">
              <w:rPr>
                <w:rFonts w:ascii="Arial" w:hAnsi="Arial" w:cs="Arial"/>
                <w:sz w:val="20"/>
                <w:szCs w:val="20"/>
              </w:rPr>
              <w:t>Conpes</w:t>
            </w:r>
            <w:proofErr w:type="spellEnd"/>
            <w:r w:rsidRPr="00F1266D">
              <w:rPr>
                <w:rFonts w:ascii="Arial" w:hAnsi="Arial" w:cs="Arial"/>
                <w:sz w:val="20"/>
                <w:szCs w:val="20"/>
              </w:rPr>
              <w:t xml:space="preserve"> 3701 de 2011</w:t>
            </w:r>
          </w:p>
        </w:tc>
        <w:tc>
          <w:tcPr>
            <w:tcW w:w="1046" w:type="dxa"/>
          </w:tcPr>
          <w:p w14:paraId="3B0065F8" w14:textId="77777777" w:rsidR="00F1266D" w:rsidRDefault="00F1266D" w:rsidP="002D674B">
            <w:pPr>
              <w:rPr>
                <w:rFonts w:ascii="Arial" w:hAnsi="Arial" w:cs="Arial"/>
                <w:sz w:val="20"/>
                <w:szCs w:val="20"/>
              </w:rPr>
            </w:pPr>
            <w:r>
              <w:rPr>
                <w:rFonts w:ascii="Arial" w:hAnsi="Arial" w:cs="Arial"/>
                <w:sz w:val="20"/>
                <w:szCs w:val="20"/>
              </w:rPr>
              <w:t>CONPES</w:t>
            </w:r>
          </w:p>
        </w:tc>
        <w:tc>
          <w:tcPr>
            <w:tcW w:w="1302" w:type="dxa"/>
          </w:tcPr>
          <w:p w14:paraId="1954B9A8" w14:textId="77777777" w:rsidR="00F1266D" w:rsidRDefault="00F1266D" w:rsidP="002D674B">
            <w:pPr>
              <w:rPr>
                <w:rFonts w:ascii="Arial" w:hAnsi="Arial" w:cs="Arial"/>
                <w:sz w:val="20"/>
                <w:szCs w:val="20"/>
              </w:rPr>
            </w:pPr>
            <w:r>
              <w:rPr>
                <w:rFonts w:ascii="Arial" w:hAnsi="Arial" w:cs="Arial"/>
                <w:sz w:val="20"/>
                <w:szCs w:val="20"/>
              </w:rPr>
              <w:t>Todo</w:t>
            </w:r>
          </w:p>
        </w:tc>
        <w:tc>
          <w:tcPr>
            <w:tcW w:w="6950" w:type="dxa"/>
          </w:tcPr>
          <w:p w14:paraId="62631E59" w14:textId="151858EE" w:rsidR="00F1266D" w:rsidRPr="00F1266D" w:rsidRDefault="00F1266D" w:rsidP="00CD6043">
            <w:pPr>
              <w:rPr>
                <w:rFonts w:ascii="Arial" w:hAnsi="Arial" w:cs="Arial"/>
                <w:sz w:val="20"/>
                <w:szCs w:val="20"/>
              </w:rPr>
            </w:pPr>
            <w:r w:rsidRPr="00F1266D">
              <w:rPr>
                <w:rFonts w:ascii="Arial" w:hAnsi="Arial" w:cs="Arial"/>
                <w:sz w:val="20"/>
                <w:szCs w:val="20"/>
              </w:rPr>
              <w:t>Lineamientos de Política para Ciberseguridad y Ciberdefensa</w:t>
            </w:r>
            <w:r w:rsidR="00342430">
              <w:rPr>
                <w:rFonts w:ascii="Arial" w:hAnsi="Arial" w:cs="Arial"/>
                <w:sz w:val="20"/>
                <w:szCs w:val="20"/>
              </w:rPr>
              <w:t>.</w:t>
            </w:r>
          </w:p>
        </w:tc>
      </w:tr>
      <w:tr w:rsidR="0068082C" w:rsidRPr="001E2038" w14:paraId="25CB191E" w14:textId="77777777" w:rsidTr="0068082C">
        <w:trPr>
          <w:cantSplit/>
          <w:trHeight w:val="690"/>
        </w:trPr>
        <w:tc>
          <w:tcPr>
            <w:tcW w:w="0" w:type="auto"/>
          </w:tcPr>
          <w:p w14:paraId="5FB9DE36" w14:textId="1AAD7E76" w:rsidR="0068082C" w:rsidRDefault="0068082C" w:rsidP="0068082C">
            <w:pPr>
              <w:jc w:val="center"/>
              <w:rPr>
                <w:rFonts w:ascii="Arial" w:hAnsi="Arial" w:cs="Arial"/>
                <w:sz w:val="20"/>
                <w:szCs w:val="20"/>
              </w:rPr>
            </w:pPr>
            <w:r>
              <w:rPr>
                <w:rFonts w:ascii="Arial" w:hAnsi="Arial" w:cs="Arial"/>
                <w:sz w:val="20"/>
                <w:szCs w:val="20"/>
              </w:rPr>
              <w:t>27</w:t>
            </w:r>
          </w:p>
        </w:tc>
        <w:tc>
          <w:tcPr>
            <w:tcW w:w="2862" w:type="dxa"/>
          </w:tcPr>
          <w:p w14:paraId="788E9F2C" w14:textId="58F8F621" w:rsidR="0068082C" w:rsidRPr="00F1266D" w:rsidRDefault="0068082C" w:rsidP="002D674B">
            <w:pPr>
              <w:rPr>
                <w:rFonts w:ascii="Arial" w:hAnsi="Arial" w:cs="Arial"/>
                <w:sz w:val="20"/>
                <w:szCs w:val="20"/>
              </w:rPr>
            </w:pPr>
            <w:r>
              <w:rPr>
                <w:rFonts w:ascii="Arial" w:hAnsi="Arial" w:cs="Arial"/>
                <w:sz w:val="20"/>
                <w:szCs w:val="20"/>
              </w:rPr>
              <w:t>PLAN DE ACCIÓN INSTITUCIONAL 2020-2023</w:t>
            </w:r>
          </w:p>
        </w:tc>
        <w:tc>
          <w:tcPr>
            <w:tcW w:w="1046" w:type="dxa"/>
          </w:tcPr>
          <w:p w14:paraId="127D47DC" w14:textId="31CFDE42" w:rsidR="0068082C" w:rsidRDefault="0068082C" w:rsidP="002D674B">
            <w:pPr>
              <w:rPr>
                <w:rFonts w:ascii="Arial" w:hAnsi="Arial" w:cs="Arial"/>
                <w:sz w:val="20"/>
                <w:szCs w:val="20"/>
              </w:rPr>
            </w:pPr>
            <w:r>
              <w:rPr>
                <w:rFonts w:ascii="Arial" w:hAnsi="Arial" w:cs="Arial"/>
                <w:sz w:val="20"/>
                <w:szCs w:val="20"/>
              </w:rPr>
              <w:t>Interno</w:t>
            </w:r>
          </w:p>
        </w:tc>
        <w:tc>
          <w:tcPr>
            <w:tcW w:w="1302" w:type="dxa"/>
          </w:tcPr>
          <w:p w14:paraId="6B3A738C" w14:textId="5E78FDC1" w:rsidR="0068082C" w:rsidRDefault="0068082C" w:rsidP="002D674B">
            <w:pPr>
              <w:rPr>
                <w:rFonts w:ascii="Arial" w:hAnsi="Arial" w:cs="Arial"/>
                <w:sz w:val="20"/>
                <w:szCs w:val="20"/>
              </w:rPr>
            </w:pPr>
            <w:r>
              <w:rPr>
                <w:rFonts w:ascii="Arial" w:hAnsi="Arial" w:cs="Arial"/>
                <w:sz w:val="20"/>
                <w:szCs w:val="20"/>
              </w:rPr>
              <w:t xml:space="preserve">Línea </w:t>
            </w:r>
            <w:r w:rsidR="00D376B9">
              <w:rPr>
                <w:rFonts w:ascii="Arial" w:hAnsi="Arial" w:cs="Arial"/>
                <w:sz w:val="20"/>
                <w:szCs w:val="20"/>
              </w:rPr>
              <w:t>Estratégica No</w:t>
            </w:r>
            <w:r>
              <w:rPr>
                <w:rFonts w:ascii="Arial" w:hAnsi="Arial" w:cs="Arial"/>
                <w:sz w:val="20"/>
                <w:szCs w:val="20"/>
              </w:rPr>
              <w:t>.5: Sostenibilidad Institucional</w:t>
            </w:r>
          </w:p>
        </w:tc>
        <w:tc>
          <w:tcPr>
            <w:tcW w:w="6950" w:type="dxa"/>
          </w:tcPr>
          <w:p w14:paraId="3C6FBDA4" w14:textId="694C9A97" w:rsidR="0068082C" w:rsidRPr="00F1266D" w:rsidRDefault="00D376B9" w:rsidP="00CD6043">
            <w:pPr>
              <w:rPr>
                <w:rFonts w:ascii="Arial" w:hAnsi="Arial" w:cs="Arial"/>
                <w:sz w:val="20"/>
                <w:szCs w:val="20"/>
              </w:rPr>
            </w:pPr>
            <w:r w:rsidRPr="0068082C">
              <w:rPr>
                <w:rFonts w:ascii="Arial" w:hAnsi="Arial" w:cs="Arial"/>
                <w:sz w:val="20"/>
                <w:szCs w:val="20"/>
              </w:rPr>
              <w:t>Formulado de</w:t>
            </w:r>
            <w:r w:rsidR="0068082C" w:rsidRPr="0068082C">
              <w:rPr>
                <w:rFonts w:ascii="Arial" w:hAnsi="Arial" w:cs="Arial"/>
                <w:sz w:val="20"/>
                <w:szCs w:val="20"/>
              </w:rPr>
              <w:t xml:space="preserve"> acuerdo al Decreto 1076 de 2015  y  la Resolución 0964 de 2007</w:t>
            </w:r>
          </w:p>
        </w:tc>
      </w:tr>
    </w:tbl>
    <w:p w14:paraId="26F4390B" w14:textId="77777777" w:rsidR="00F21F30" w:rsidRPr="00F21F30" w:rsidRDefault="00F21F30">
      <w:pPr>
        <w:spacing w:after="0" w:line="240" w:lineRule="auto"/>
        <w:rPr>
          <w:rFonts w:ascii="Arial" w:hAnsi="Arial" w:cs="Arial"/>
        </w:rPr>
      </w:pPr>
    </w:p>
    <w:sectPr w:rsidR="00F21F30" w:rsidRPr="00F21F30" w:rsidSect="00F21F30">
      <w:pgSz w:w="15840" w:h="12240"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30"/>
    <w:rsid w:val="000774D0"/>
    <w:rsid w:val="000D1686"/>
    <w:rsid w:val="00167E50"/>
    <w:rsid w:val="00171A7D"/>
    <w:rsid w:val="001967E3"/>
    <w:rsid w:val="001E2038"/>
    <w:rsid w:val="002D674B"/>
    <w:rsid w:val="00342430"/>
    <w:rsid w:val="003A01C6"/>
    <w:rsid w:val="003B0821"/>
    <w:rsid w:val="003E205A"/>
    <w:rsid w:val="00473765"/>
    <w:rsid w:val="004B5072"/>
    <w:rsid w:val="004F53BB"/>
    <w:rsid w:val="00530B53"/>
    <w:rsid w:val="00575CC6"/>
    <w:rsid w:val="00621590"/>
    <w:rsid w:val="006363B2"/>
    <w:rsid w:val="0068082C"/>
    <w:rsid w:val="006C1008"/>
    <w:rsid w:val="00870428"/>
    <w:rsid w:val="008A5849"/>
    <w:rsid w:val="00CD1583"/>
    <w:rsid w:val="00CD6043"/>
    <w:rsid w:val="00D00FEA"/>
    <w:rsid w:val="00D22804"/>
    <w:rsid w:val="00D376B9"/>
    <w:rsid w:val="00DB7DE8"/>
    <w:rsid w:val="00E27170"/>
    <w:rsid w:val="00E87192"/>
    <w:rsid w:val="00F1266D"/>
    <w:rsid w:val="00F21F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1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1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1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1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8427-AA2F-4D2C-A6F8-4F7F4074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Lima González</dc:creator>
  <cp:lastModifiedBy>JOSE IGNACIO M</cp:lastModifiedBy>
  <cp:revision>8</cp:revision>
  <dcterms:created xsi:type="dcterms:W3CDTF">2020-10-29T13:04:00Z</dcterms:created>
  <dcterms:modified xsi:type="dcterms:W3CDTF">2020-10-29T23:29:00Z</dcterms:modified>
</cp:coreProperties>
</file>