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center"/>
      </w:pPr>
      <w:r>
        <w:rPr>
          <w:rFonts w:ascii="Microsoft YaHei" w:hAnsi="Microsoft YaHei" w:eastAsia="Microsoft YaHei"/>
          <w:b/>
          <w:color w:val="000000"/>
          <w:sz w:val="40"/>
        </w:rPr>
        <w:t>AI Portal 项目骨架阶段四人同步开发分工与整合计划</w:t>
      </w:r>
    </w:p>
    <w:p>
      <w:pPr>
        <w:spacing w:after="280"/>
        <w:jc w:val="center"/>
      </w:pPr>
      <w:r>
        <w:rPr>
          <w:rFonts w:ascii="Microsoft YaHei" w:hAnsi="Microsoft YaHei" w:eastAsia="Microsoft YaHei"/>
          <w:color w:val="4F4F4F"/>
          <w:sz w:val="22"/>
        </w:rPr>
        <w:t>基础平台阶段，不包含 RAG 与 Agent 业务设计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F5F7FA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版本</w:t>
            </w:r>
          </w:p>
        </w:tc>
        <w:tc>
          <w:tcPr>
            <w:tcW w:type="dxa" w:w="2520"/>
            <w:shd w:fill="FFFFFF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2520"/>
            <w:shd w:fill="F5F7FA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编制日期</w:t>
            </w:r>
          </w:p>
        </w:tc>
        <w:tc>
          <w:tcPr>
            <w:tcW w:type="dxa" w:w="2520"/>
            <w:shd w:fill="FFFFFF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2026 年 9 月 21 日</w:t>
            </w:r>
          </w:p>
        </w:tc>
      </w:tr>
      <w:tr>
        <w:tc>
          <w:tcPr>
            <w:tcW w:type="dxa" w:w="2520"/>
            <w:shd w:fill="F5F7FA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适用团队</w:t>
            </w:r>
          </w:p>
        </w:tc>
        <w:tc>
          <w:tcPr>
            <w:tcW w:type="dxa" w:w="2520"/>
            <w:shd w:fill="FFFFFF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四人研发团队</w:t>
            </w:r>
          </w:p>
        </w:tc>
        <w:tc>
          <w:tcPr>
            <w:tcW w:type="dxa" w:w="2520"/>
            <w:shd w:fill="F5F7FA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协作方式</w:t>
            </w:r>
          </w:p>
        </w:tc>
        <w:tc>
          <w:tcPr>
            <w:tcW w:type="dxa" w:w="2520"/>
            <w:shd w:fill="FFFFFF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两个月同步推进，之后共同设计 Agent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0"/>
        </w:rPr>
        <w:t>1 文档目的与阶段边界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000000"/>
          <w:sz w:val="21"/>
        </w:rPr>
        <w:t>本计划用于指导四人团队在 AI Portal 项目骨架阶段同步开发。前两个月由两组并行推进后端基础、前端页面、权限、部署和测试，避免等待式开发；两个月结束后先完成基础平台验收，再由四人共同进入具体 Agent 的需求和技术设计阶段。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000000"/>
          <w:sz w:val="21"/>
        </w:rPr>
        <w:t>前两个月建设范围包括项目目录、前后端运行链路、用户与角色、部门和 Agent 授权基础、文件与任务接口占位、日志、Docker 部署和测试。RAG 文档解析、向量检索、Supervisor、Prompt、Tool 和具体 Agent 业务逻辑在前两个月暂不纳入开发范围。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0"/>
        </w:rPr>
        <w:t>2 协作原则</w:t>
      </w:r>
    </w:p>
    <w:p>
      <w:pPr>
        <w:pStyle w:val="ListBullet"/>
        <w:spacing w:after="40" w:line="252" w:lineRule="auto"/>
      </w:pPr>
      <w:r>
        <w:rPr>
          <w:rFonts w:ascii="Microsoft YaHei" w:hAnsi="Microsoft YaHei" w:eastAsia="Microsoft YaHei"/>
          <w:color w:val="000000"/>
          <w:sz w:val="20"/>
        </w:rPr>
        <w:t>两组同步开发：每周按照同一目标拆分任务，前后端使用约定好的 DTO 和接口并行实现。</w:t>
      </w:r>
    </w:p>
    <w:p>
      <w:pPr>
        <w:pStyle w:val="ListBullet"/>
        <w:spacing w:after="40" w:line="252" w:lineRule="auto"/>
      </w:pPr>
      <w:r>
        <w:rPr>
          <w:rFonts w:ascii="Microsoft YaHei" w:hAnsi="Microsoft YaHei" w:eastAsia="Microsoft YaHei"/>
          <w:color w:val="000000"/>
          <w:sz w:val="20"/>
        </w:rPr>
        <w:t>一人主做、一人复核：每项代码必须由本组另一名成员评审；公共接口由另一组至少一人参与评审。</w:t>
      </w:r>
    </w:p>
    <w:p>
      <w:pPr>
        <w:pStyle w:val="ListBullet"/>
        <w:spacing w:after="40" w:line="252" w:lineRule="auto"/>
      </w:pPr>
      <w:r>
        <w:rPr>
          <w:rFonts w:ascii="Microsoft YaHei" w:hAnsi="Microsoft YaHei" w:eastAsia="Microsoft YaHei"/>
          <w:color w:val="000000"/>
          <w:sz w:val="20"/>
        </w:rPr>
        <w:t>先定契约再写实现：接口、字段、状态和错误码写入 packages/contracts，变更必须同步更新文档。</w:t>
      </w:r>
    </w:p>
    <w:p>
      <w:pPr>
        <w:pStyle w:val="ListBullet"/>
        <w:spacing w:after="40" w:line="252" w:lineRule="auto"/>
      </w:pPr>
      <w:r>
        <w:rPr>
          <w:rFonts w:ascii="Microsoft YaHei" w:hAnsi="Microsoft YaHei" w:eastAsia="Microsoft YaHei"/>
          <w:color w:val="000000"/>
          <w:sz w:val="20"/>
        </w:rPr>
        <w:t>后端决定权限：前端只展示后端返回的结果，不能在前端自行判断员工是否有 Agent 权限。</w:t>
      </w:r>
    </w:p>
    <w:p>
      <w:pPr>
        <w:pStyle w:val="ListBullet"/>
        <w:spacing w:after="40" w:line="252" w:lineRule="auto"/>
      </w:pPr>
      <w:r>
        <w:rPr>
          <w:rFonts w:ascii="Microsoft YaHei" w:hAnsi="Microsoft YaHei" w:eastAsia="Microsoft YaHei"/>
          <w:color w:val="000000"/>
          <w:sz w:val="20"/>
        </w:rPr>
        <w:t>共同承担上线：两组都参与联调、权限测试、Docker 验证、部署和故障排查，不形成单点依赖。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0"/>
        </w:rPr>
        <w:t>3 小组一 刘志博与李明山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000000"/>
          <w:sz w:val="21"/>
        </w:rPr>
        <w:t>小组一负责后端基础、数据结构、权限服务和运行环境，为小组二提供稳定的接口、测试账号和联调环境。当前只建设基础接口和权限框架，不实现 RAG 或 Agent 业务流程。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00"/>
            <w:shd w:fill="1F4E7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工作方向</w:t>
            </w:r>
          </w:p>
        </w:tc>
        <w:tc>
          <w:tcPr>
            <w:tcW w:type="dxa" w:w="4320"/>
            <w:shd w:fill="1F4E7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主要交付物</w:t>
            </w:r>
          </w:p>
        </w:tc>
        <w:tc>
          <w:tcPr>
            <w:tcW w:type="dxa" w:w="3600"/>
            <w:shd w:fill="1F4E7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阶段验收</w:t>
            </w:r>
          </w:p>
        </w:tc>
      </w:tr>
      <w:tr>
        <w:tc>
          <w:tcPr>
            <w:tcW w:type="dxa" w:w="1800"/>
            <w:shd w:fill="EAF2F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后端基础</w:t>
            </w:r>
          </w:p>
        </w:tc>
        <w:tc>
          <w:tcPr>
            <w:tcW w:type="dxa" w:w="4320"/>
            <w:shd w:fill="EAF2F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FastAPI 分层、统一配置、异常处理、REST/OpenAPI 接口、请求 trace_id</w:t>
            </w:r>
          </w:p>
        </w:tc>
        <w:tc>
          <w:tcPr>
            <w:tcW w:type="dxa" w:w="3600"/>
            <w:shd w:fill="EAF2F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后端可启动，/health、/me 等接口可调用，错误格式统一</w:t>
            </w:r>
          </w:p>
        </w:tc>
      </w:tr>
      <w:tr>
        <w:tc>
          <w:tcPr>
            <w:tcW w:type="dxa" w:w="1800"/>
            <w:shd w:fill="FFFFFF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数据库基础</w:t>
            </w:r>
          </w:p>
        </w:tc>
        <w:tc>
          <w:tcPr>
            <w:tcW w:type="dxa" w:w="4320"/>
            <w:shd w:fill="FFFFFF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SQLAlchemy/Alembic 结构；users、departments、groups、agent_grants、audit_logs 等表设计</w:t>
            </w:r>
          </w:p>
        </w:tc>
        <w:tc>
          <w:tcPr>
            <w:tcW w:type="dxa" w:w="3600"/>
            <w:shd w:fill="FFFFFF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迁移可重复执行，初始化数据不重复，字段和索引通过评审</w:t>
            </w:r>
          </w:p>
        </w:tc>
      </w:tr>
      <w:tr>
        <w:tc>
          <w:tcPr>
            <w:tcW w:type="dxa" w:w="1800"/>
            <w:shd w:fill="EAF2F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认证与权限</w:t>
            </w:r>
          </w:p>
        </w:tc>
        <w:tc>
          <w:tcPr>
            <w:tcW w:type="dxa" w:w="4320"/>
            <w:shd w:fill="EAF2F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employee/platform_admin 两种角色；用户停用；Agent 有效授权查询和执行校验</w:t>
            </w:r>
          </w:p>
        </w:tc>
        <w:tc>
          <w:tcPr>
            <w:tcW w:type="dxa" w:w="3600"/>
            <w:shd w:fill="EAF2F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停用用户无法访问，未授权 Agent 列表和执行请求均被拒绝</w:t>
            </w:r>
          </w:p>
        </w:tc>
      </w:tr>
      <w:tr>
        <w:tc>
          <w:tcPr>
            <w:tcW w:type="dxa" w:w="1800"/>
            <w:shd w:fill="FFFFFF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文件与任务接口</w:t>
            </w:r>
          </w:p>
        </w:tc>
        <w:tc>
          <w:tcPr>
            <w:tcW w:type="dxa" w:w="4320"/>
            <w:shd w:fill="FFFFFF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文件上传占位、任务状态模型、结果查询和 SSE 接口约定</w:t>
            </w:r>
          </w:p>
        </w:tc>
        <w:tc>
          <w:tcPr>
            <w:tcW w:type="dxa" w:w="3600"/>
            <w:shd w:fill="FFFFFF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接口能被前端联调，状态流转和错误码明确</w:t>
            </w:r>
          </w:p>
        </w:tc>
      </w:tr>
      <w:tr>
        <w:tc>
          <w:tcPr>
            <w:tcW w:type="dxa" w:w="1800"/>
            <w:shd w:fill="EAF2F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部署与日志</w:t>
            </w:r>
          </w:p>
        </w:tc>
        <w:tc>
          <w:tcPr>
            <w:tcW w:type="dxa" w:w="4320"/>
            <w:shd w:fill="EAF2F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Docker Compose、Nginx、后端 JSONL 日志、日志目录挂载、环境变量模板</w:t>
            </w:r>
          </w:p>
        </w:tc>
        <w:tc>
          <w:tcPr>
            <w:tcW w:type="dxa" w:w="3600"/>
            <w:shd w:fill="EAF2F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本地和服务器可重复启动，能用 trace_id 定位请求</w:t>
            </w:r>
          </w:p>
        </w:tc>
      </w:tr>
      <w:tr>
        <w:tc>
          <w:tcPr>
            <w:tcW w:type="dxa" w:w="1800"/>
            <w:shd w:fill="FFFFFF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后端测试</w:t>
            </w:r>
          </w:p>
        </w:tc>
        <w:tc>
          <w:tcPr>
            <w:tcW w:type="dxa" w:w="4320"/>
            <w:shd w:fill="FFFFFF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健康检查、权限、停用账号、越权访问和接口参数测试</w:t>
            </w:r>
          </w:p>
        </w:tc>
        <w:tc>
          <w:tcPr>
            <w:tcW w:type="dxa" w:w="3600"/>
            <w:shd w:fill="FFFFFF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合并前后端基础测试通过，失败原因可从日志定位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4"/>
        </w:rPr>
        <w:t>3.1 小组内协作重点</w:t>
      </w:r>
    </w:p>
    <w:p>
      <w:pPr>
        <w:pStyle w:val="ListBullet"/>
        <w:spacing w:after="40" w:line="252" w:lineRule="auto"/>
      </w:pPr>
      <w:r>
        <w:rPr>
          <w:rFonts w:ascii="Microsoft YaHei" w:hAnsi="Microsoft YaHei" w:eastAsia="Microsoft YaHei"/>
          <w:color w:val="000000"/>
          <w:sz w:val="20"/>
        </w:rPr>
        <w:t>李明山优先推进 API、数据模型、用户组织和 PermissionService；刘志博同步推进 Docker、日志、环境配置、测试工具和部署脚本。</w:t>
      </w:r>
    </w:p>
    <w:p>
      <w:pPr>
        <w:pStyle w:val="ListBullet"/>
        <w:spacing w:after="40" w:line="252" w:lineRule="auto"/>
      </w:pPr>
      <w:r>
        <w:rPr>
          <w:rFonts w:ascii="Microsoft YaHei" w:hAnsi="Microsoft YaHei" w:eastAsia="Microsoft YaHei"/>
          <w:color w:val="000000"/>
          <w:sz w:val="20"/>
        </w:rPr>
        <w:t>数据库迁移、权限规则和公共 DTO 不允许单人直接合并，必须由两人共同评审。</w:t>
      </w:r>
    </w:p>
    <w:p>
      <w:pPr>
        <w:pStyle w:val="ListBullet"/>
        <w:spacing w:after="40" w:line="252" w:lineRule="auto"/>
      </w:pPr>
      <w:r>
        <w:rPr>
          <w:rFonts w:ascii="Microsoft YaHei" w:hAnsi="Microsoft YaHei" w:eastAsia="Microsoft YaHei"/>
          <w:color w:val="000000"/>
          <w:sz w:val="20"/>
        </w:rPr>
        <w:t>每周向小组二提供可运行的接口版本、演示账号、错误码和变更说明。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0"/>
        </w:rPr>
        <w:t>4 小组二 符润与熊赵妤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000000"/>
          <w:sz w:val="21"/>
        </w:rPr>
        <w:t>小组二负责 Vue 员工端、管理员端、接口封装和前端联调体验。页面先使用当前演示接口和模拟数据开发，后端接口稳定后切换到真实权限结果。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00"/>
            <w:shd w:fill="1F4E7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工作方向</w:t>
            </w:r>
          </w:p>
        </w:tc>
        <w:tc>
          <w:tcPr>
            <w:tcW w:type="dxa" w:w="4320"/>
            <w:shd w:fill="1F4E7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主要交付物</w:t>
            </w:r>
          </w:p>
        </w:tc>
        <w:tc>
          <w:tcPr>
            <w:tcW w:type="dxa" w:w="3600"/>
            <w:shd w:fill="1F4E7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阶段验收</w:t>
            </w:r>
          </w:p>
        </w:tc>
      </w:tr>
      <w:tr>
        <w:tc>
          <w:tcPr>
            <w:tcW w:type="dxa" w:w="1800"/>
            <w:shd w:fill="EAF2F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前端基础</w:t>
            </w:r>
          </w:p>
        </w:tc>
        <w:tc>
          <w:tcPr>
            <w:tcW w:type="dxa" w:w="4320"/>
            <w:shd w:fill="EAF2F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Vue 3、TypeScript、Vite、Router、Pinia、Element Plus、统一布局</w:t>
            </w:r>
          </w:p>
        </w:tc>
        <w:tc>
          <w:tcPr>
            <w:tcW w:type="dxa" w:w="3600"/>
            <w:shd w:fill="EAF2F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前端可启动，路由和状态结构清晰，常用屏幕无明显布局问题</w:t>
            </w:r>
          </w:p>
        </w:tc>
      </w:tr>
      <w:tr>
        <w:tc>
          <w:tcPr>
            <w:tcW w:type="dxa" w:w="1800"/>
            <w:shd w:fill="FFFFFF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登录与员工端</w:t>
            </w:r>
          </w:p>
        </w:tc>
        <w:tc>
          <w:tcPr>
            <w:tcW w:type="dxa" w:w="4320"/>
            <w:shd w:fill="FFFFFF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登录页、当前用户状态、员工工作台、Agent 列表和文件上传交互</w:t>
            </w:r>
          </w:p>
        </w:tc>
        <w:tc>
          <w:tcPr>
            <w:tcW w:type="dxa" w:w="3600"/>
            <w:shd w:fill="FFFFFF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员工能看到自己的身份和有效 Agent，未授权入口有明确提示</w:t>
            </w:r>
          </w:p>
        </w:tc>
      </w:tr>
      <w:tr>
        <w:tc>
          <w:tcPr>
            <w:tcW w:type="dxa" w:w="1800"/>
            <w:shd w:fill="EAF2F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管理员端</w:t>
            </w:r>
          </w:p>
        </w:tc>
        <w:tc>
          <w:tcPr>
            <w:tcW w:type="dxa" w:w="4320"/>
            <w:shd w:fill="EAF2F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用户、部门、账号启停、Agent 授权、授权预览、审计记录页面</w:t>
            </w:r>
          </w:p>
        </w:tc>
        <w:tc>
          <w:tcPr>
            <w:tcW w:type="dxa" w:w="3600"/>
            <w:shd w:fill="EAF2F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管理员页面按角色展示，普通员工不能进入管理功能</w:t>
            </w:r>
          </w:p>
        </w:tc>
      </w:tr>
      <w:tr>
        <w:tc>
          <w:tcPr>
            <w:tcW w:type="dxa" w:w="1800"/>
            <w:shd w:fill="FFFFFF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接口封装</w:t>
            </w:r>
          </w:p>
        </w:tc>
        <w:tc>
          <w:tcPr>
            <w:tcW w:type="dxa" w:w="4320"/>
            <w:shd w:fill="FFFFFF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Axios 客户端、统一错误提示、Loading/Empty/Error 状态、trace_id 展示和问题反馈</w:t>
            </w:r>
          </w:p>
        </w:tc>
        <w:tc>
          <w:tcPr>
            <w:tcW w:type="dxa" w:w="3600"/>
            <w:shd w:fill="FFFFFF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接口异常可提示，前端能记录 request_id 供排查</w:t>
            </w:r>
          </w:p>
        </w:tc>
      </w:tr>
      <w:tr>
        <w:tc>
          <w:tcPr>
            <w:tcW w:type="dxa" w:w="1800"/>
            <w:shd w:fill="EAF2F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任务与文件体验</w:t>
            </w:r>
          </w:p>
        </w:tc>
        <w:tc>
          <w:tcPr>
            <w:tcW w:type="dxa" w:w="4320"/>
            <w:shd w:fill="EAF2F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上传状态、任务处理中、成功、失败、取消和历史记录页面骨架</w:t>
            </w:r>
          </w:p>
        </w:tc>
        <w:tc>
          <w:tcPr>
            <w:tcW w:type="dxa" w:w="3600"/>
            <w:shd w:fill="EAF2F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刷新页面后能根据任务接口恢复基本状态</w:t>
            </w:r>
          </w:p>
        </w:tc>
      </w:tr>
      <w:tr>
        <w:tc>
          <w:tcPr>
            <w:tcW w:type="dxa" w:w="1800"/>
            <w:shd w:fill="FFFFFF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前端测试</w:t>
            </w:r>
          </w:p>
        </w:tc>
        <w:tc>
          <w:tcPr>
            <w:tcW w:type="dxa" w:w="4320"/>
            <w:shd w:fill="FFFFFF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组件测试、路由权限测试和基础 Playwright 流程</w:t>
            </w:r>
          </w:p>
        </w:tc>
        <w:tc>
          <w:tcPr>
            <w:tcW w:type="dxa" w:w="3600"/>
            <w:shd w:fill="FFFFFF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登录、员工端、管理员端主路径可重复验证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4"/>
        </w:rPr>
        <w:t>4.1 小组内协作重点</w:t>
      </w:r>
    </w:p>
    <w:p>
      <w:pPr>
        <w:pStyle w:val="ListBullet"/>
        <w:spacing w:after="40" w:line="252" w:lineRule="auto"/>
      </w:pPr>
      <w:r>
        <w:rPr>
          <w:rFonts w:ascii="Microsoft YaHei" w:hAnsi="Microsoft YaHei" w:eastAsia="Microsoft YaHei"/>
          <w:color w:val="000000"/>
          <w:sz w:val="20"/>
        </w:rPr>
        <w:t>符润优先推进员工端、登录状态、API 客户端和 Pinia；熊赵妤同步推进管理员端、权限展示、异常状态和前端测试。</w:t>
      </w:r>
    </w:p>
    <w:p>
      <w:pPr>
        <w:pStyle w:val="ListBullet"/>
        <w:spacing w:after="40" w:line="252" w:lineRule="auto"/>
      </w:pPr>
      <w:r>
        <w:rPr>
          <w:rFonts w:ascii="Microsoft YaHei" w:hAnsi="Microsoft YaHei" w:eastAsia="Microsoft YaHei"/>
          <w:color w:val="000000"/>
          <w:sz w:val="20"/>
        </w:rPr>
        <w:t>页面不能自行合并授权规则；所有可见 Agent、管理员操作和账号状态以 API 返回为准。</w:t>
      </w:r>
    </w:p>
    <w:p>
      <w:pPr>
        <w:pStyle w:val="ListBullet"/>
        <w:spacing w:after="40" w:line="252" w:lineRule="auto"/>
      </w:pPr>
      <w:r>
        <w:rPr>
          <w:rFonts w:ascii="Microsoft YaHei" w:hAnsi="Microsoft YaHei" w:eastAsia="Microsoft YaHei"/>
          <w:color w:val="000000"/>
          <w:sz w:val="20"/>
        </w:rPr>
        <w:t>每周向小组一提供页面录屏或可操作环境、接口调用清单和待解决的交互问题。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0"/>
        </w:rPr>
        <w:t>5 同步开发节奏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944"/>
            <w:shd w:fill="1F4E7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096"/>
            <w:shd w:fill="1F4E7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小组一 后端与环境</w:t>
            </w:r>
          </w:p>
        </w:tc>
        <w:tc>
          <w:tcPr>
            <w:tcW w:type="dxa" w:w="3096"/>
            <w:shd w:fill="1F4E7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小组二 前端与联调</w:t>
            </w:r>
          </w:p>
        </w:tc>
        <w:tc>
          <w:tcPr>
            <w:tcW w:type="dxa" w:w="3024"/>
            <w:shd w:fill="1F4E7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共同整合点</w:t>
            </w:r>
          </w:p>
        </w:tc>
      </w:tr>
      <w:tr>
        <w:tc>
          <w:tcPr>
            <w:tcW w:type="dxa" w:w="1944"/>
            <w:shd w:fill="EAF2F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第 1-2 周 项目基线</w:t>
            </w:r>
          </w:p>
        </w:tc>
        <w:tc>
          <w:tcPr>
            <w:tcW w:type="dxa" w:w="3096"/>
            <w:shd w:fill="EAF2F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目录、配置、日志、健康检查、Compose、接口 DTO</w:t>
            </w:r>
          </w:p>
        </w:tc>
        <w:tc>
          <w:tcPr>
            <w:tcW w:type="dxa" w:w="3096"/>
            <w:shd w:fill="EAF2F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页面布局、路由、Pinia、API 客户端、登录页骨架</w:t>
            </w:r>
          </w:p>
        </w:tc>
        <w:tc>
          <w:tcPr>
            <w:tcW w:type="dxa" w:w="3024"/>
            <w:shd w:fill="EAF2F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确认分支、接口文档、环境变量和演示账号</w:t>
            </w:r>
          </w:p>
        </w:tc>
      </w:tr>
      <w:tr>
        <w:tc>
          <w:tcPr>
            <w:tcW w:type="dxa" w:w="1944"/>
            <w:shd w:fill="FFFFFF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第 3-4 周 身份与权限</w:t>
            </w:r>
          </w:p>
        </w:tc>
        <w:tc>
          <w:tcPr>
            <w:tcW w:type="dxa" w:w="3096"/>
            <w:shd w:fill="FFFFFF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用户/部门/角色/授权模型和后端校验</w:t>
            </w:r>
          </w:p>
        </w:tc>
        <w:tc>
          <w:tcPr>
            <w:tcW w:type="dxa" w:w="3096"/>
            <w:shd w:fill="FFFFFF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登录状态、角色路由、Agent 列表和权限提示</w:t>
            </w:r>
          </w:p>
        </w:tc>
        <w:tc>
          <w:tcPr>
            <w:tcW w:type="dxa" w:w="3024"/>
            <w:shd w:fill="FFFFFF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员工与管理员两条路径完成首次联调</w:t>
            </w:r>
          </w:p>
        </w:tc>
      </w:tr>
      <w:tr>
        <w:tc>
          <w:tcPr>
            <w:tcW w:type="dxa" w:w="1944"/>
            <w:shd w:fill="EAF2F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第 5-6 周 文件与任务</w:t>
            </w:r>
          </w:p>
        </w:tc>
        <w:tc>
          <w:tcPr>
            <w:tcW w:type="dxa" w:w="3096"/>
            <w:shd w:fill="EAF2F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文件、任务、事件、结果接口和审计记录</w:t>
            </w:r>
          </w:p>
        </w:tc>
        <w:tc>
          <w:tcPr>
            <w:tcW w:type="dxa" w:w="3096"/>
            <w:shd w:fill="EAF2F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上传、处理中、成功/失败、历史和错误状态</w:t>
            </w:r>
          </w:p>
        </w:tc>
        <w:tc>
          <w:tcPr>
            <w:tcW w:type="dxa" w:w="3024"/>
            <w:shd w:fill="EAF2F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完成一次文件任务端到端演示</w:t>
            </w:r>
          </w:p>
        </w:tc>
      </w:tr>
      <w:tr>
        <w:tc>
          <w:tcPr>
            <w:tcW w:type="dxa" w:w="1944"/>
            <w:shd w:fill="FFFFFF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第 7-8 周 测试与交付</w:t>
            </w:r>
          </w:p>
        </w:tc>
        <w:tc>
          <w:tcPr>
            <w:tcW w:type="dxa" w:w="3096"/>
            <w:shd w:fill="FFFFFF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越权测试、日志排查、备份、Docker 和服务器部署</w:t>
            </w:r>
          </w:p>
        </w:tc>
        <w:tc>
          <w:tcPr>
            <w:tcW w:type="dxa" w:w="3096"/>
            <w:shd w:fill="FFFFFF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响应式优化、异常场景、Playwright 流程</w:t>
            </w:r>
          </w:p>
        </w:tc>
        <w:tc>
          <w:tcPr>
            <w:tcW w:type="dxa" w:w="3024"/>
            <w:shd w:fill="FFFFFF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完成基础平台验收、部署演练和问题清单闭环</w:t>
            </w:r>
          </w:p>
        </w:tc>
      </w:tr>
      <w:tr>
        <w:tc>
          <w:tcPr>
            <w:tcW w:type="dxa" w:w="1944"/>
            <w:shd w:fill="EAF2F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两个月后 Agent 设计</w:t>
            </w:r>
          </w:p>
        </w:tc>
        <w:tc>
          <w:tcPr>
            <w:tcW w:type="dxa" w:w="3096"/>
            <w:shd w:fill="EAF2F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参与 AgentExecutionService、权限上下文和运行接口设计</w:t>
            </w:r>
          </w:p>
        </w:tc>
        <w:tc>
          <w:tcPr>
            <w:tcW w:type="dxa" w:w="3096"/>
            <w:shd w:fill="EAF2F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参与 Agent 工作区、输入输出和状态交互设计</w:t>
            </w:r>
          </w:p>
        </w:tc>
        <w:tc>
          <w:tcPr>
            <w:tcW w:type="dxa" w:w="3024"/>
            <w:shd w:fill="EAF2F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四人共同确定 Agent 范围、技术方案和后续排期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Microsoft YaHei" w:hAnsi="Microsoft YaHei" w:eastAsia="Microsoft YaHei"/>
          <w:color w:val="000000"/>
          <w:sz w:val="21"/>
        </w:rPr>
        <w:t>同步规则：前两个月每周至少一次接口联调、一次越权测试和一次部署验证。联调问题在当天登记到项目看板，涉及公共 DTO、权限规则或数据库迁移的变更必须由两组共同确认。两个月结束时冻结基础接口，经过验收后再启动 Agent 设计。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0"/>
        </w:rPr>
        <w:t>6 基础接口与代码整合规则</w:t>
      </w:r>
    </w:p>
    <w:p>
      <w:pPr>
        <w:pStyle w:val="ListBullet"/>
        <w:spacing w:after="40" w:line="252" w:lineRule="auto"/>
      </w:pPr>
      <w:r>
        <w:rPr>
          <w:rFonts w:ascii="Microsoft YaHei" w:hAnsi="Microsoft YaHei" w:eastAsia="Microsoft YaHei"/>
          <w:color w:val="000000"/>
          <w:sz w:val="20"/>
        </w:rPr>
        <w:t>前端只调用 Portal API，不直接访问 PostgreSQL、Redis、MinIO、Milvus 或模型服务。</w:t>
      </w:r>
    </w:p>
    <w:p>
      <w:pPr>
        <w:pStyle w:val="ListBullet"/>
        <w:spacing w:after="40" w:line="252" w:lineRule="auto"/>
      </w:pPr>
      <w:r>
        <w:rPr>
          <w:rFonts w:ascii="Microsoft YaHei" w:hAnsi="Microsoft YaHei" w:eastAsia="Microsoft YaHei"/>
          <w:color w:val="000000"/>
          <w:sz w:val="20"/>
        </w:rPr>
        <w:t>后端路由只负责参数校验和响应编排，业务逻辑进入 Service，数据库访问进入 Repository。</w:t>
      </w:r>
    </w:p>
    <w:p>
      <w:pPr>
        <w:pStyle w:val="ListBullet"/>
        <w:spacing w:after="40" w:line="252" w:lineRule="auto"/>
      </w:pPr>
      <w:r>
        <w:rPr>
          <w:rFonts w:ascii="Microsoft YaHei" w:hAnsi="Microsoft YaHei" w:eastAsia="Microsoft YaHei"/>
          <w:color w:val="000000"/>
          <w:sz w:val="20"/>
        </w:rPr>
        <w:t>Agent 列表、任务创建、文件下载和管理员操作都必须在后端重新校验用户身份与权限。</w:t>
      </w:r>
    </w:p>
    <w:p>
      <w:pPr>
        <w:pStyle w:val="ListBullet"/>
        <w:spacing w:after="40" w:line="252" w:lineRule="auto"/>
      </w:pPr>
      <w:r>
        <w:rPr>
          <w:rFonts w:ascii="Microsoft YaHei" w:hAnsi="Microsoft YaHei" w:eastAsia="Microsoft YaHei"/>
          <w:color w:val="000000"/>
          <w:sz w:val="20"/>
        </w:rPr>
        <w:t>分支建议使用 codex/feature-xxx 或 feature/xxx；每个 PR 至少由本组一人和另一组一人评审。</w:t>
      </w:r>
    </w:p>
    <w:p>
      <w:pPr>
        <w:pStyle w:val="ListBullet"/>
        <w:spacing w:after="40" w:line="252" w:lineRule="auto"/>
      </w:pPr>
      <w:r>
        <w:rPr>
          <w:rFonts w:ascii="Microsoft YaHei" w:hAnsi="Microsoft YaHei" w:eastAsia="Microsoft YaHei"/>
          <w:color w:val="000000"/>
          <w:sz w:val="20"/>
        </w:rPr>
        <w:t>合并前必须通过 Python 编译、后端测试、前端构建、权限测试和 Compose 配置检查。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744"/>
            <w:shd w:fill="1F4E7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公共文件或模块</w:t>
            </w:r>
          </w:p>
        </w:tc>
        <w:tc>
          <w:tcPr>
            <w:tcW w:type="dxa" w:w="6048"/>
            <w:shd w:fill="1F4E7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维护方式</w:t>
            </w:r>
          </w:p>
        </w:tc>
      </w:tr>
      <w:tr>
        <w:tc>
          <w:tcPr>
            <w:tcW w:type="dxa" w:w="3744"/>
            <w:shd w:fill="EAF2F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packages/contracts/api-v1.md</w:t>
            </w:r>
          </w:p>
        </w:tc>
        <w:tc>
          <w:tcPr>
            <w:tcW w:type="dxa" w:w="6048"/>
            <w:shd w:fill="EAF2F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接口路径、请求响应、错误码和状态变更由两组共同维护</w:t>
            </w:r>
          </w:p>
        </w:tc>
      </w:tr>
      <w:tr>
        <w:tc>
          <w:tcPr>
            <w:tcW w:type="dxa" w:w="3744"/>
            <w:shd w:fill="FFFFFF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backend/app/core、permission、数据库迁移</w:t>
            </w:r>
          </w:p>
        </w:tc>
        <w:tc>
          <w:tcPr>
            <w:tcW w:type="dxa" w:w="6048"/>
            <w:shd w:fill="FFFFFF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小组一主维护，小组二参与评审</w:t>
            </w:r>
          </w:p>
        </w:tc>
      </w:tr>
      <w:tr>
        <w:tc>
          <w:tcPr>
            <w:tcW w:type="dxa" w:w="3744"/>
            <w:shd w:fill="EAF2F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frontend/src/api、router、stores</w:t>
            </w:r>
          </w:p>
        </w:tc>
        <w:tc>
          <w:tcPr>
            <w:tcW w:type="dxa" w:w="6048"/>
            <w:shd w:fill="EAF2F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小组二主维护，小组一参与接口和权限评审</w:t>
            </w:r>
          </w:p>
        </w:tc>
      </w:tr>
      <w:tr>
        <w:tc>
          <w:tcPr>
            <w:tcW w:type="dxa" w:w="3744"/>
            <w:shd w:fill="FFFFFF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infra、Docker、日志和部署文档</w:t>
            </w:r>
          </w:p>
        </w:tc>
        <w:tc>
          <w:tcPr>
            <w:tcW w:type="dxa" w:w="6048"/>
            <w:shd w:fill="FFFFFF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小组一主维护，小组二参与启动验证</w:t>
            </w:r>
          </w:p>
        </w:tc>
      </w:tr>
      <w:tr>
        <w:tc>
          <w:tcPr>
            <w:tcW w:type="dxa" w:w="3744"/>
            <w:shd w:fill="EAF2F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tests/与端到端流程</w:t>
            </w:r>
          </w:p>
        </w:tc>
        <w:tc>
          <w:tcPr>
            <w:tcW w:type="dxa" w:w="6048"/>
            <w:shd w:fill="EAF2F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两组共同维护，测试失败必须由对应功能小组修复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0"/>
        </w:rPr>
        <w:t>7 两个月后 Agent 模块设计与整合准备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000000"/>
          <w:sz w:val="21"/>
        </w:rPr>
        <w:t>前两个月不直接开发具体 Agent。基础平台通过验收后，四人共同进入 Agent 设计阶段，先确定业务场景、输入输出、权限范围、模型调用方式、工作流边界和验收样例，再进入实现排期。</w:t>
      </w:r>
    </w:p>
    <w:p>
      <w:pPr>
        <w:pStyle w:val="ListBullet"/>
        <w:spacing w:after="40" w:line="252" w:lineRule="auto"/>
      </w:pPr>
      <w:r>
        <w:rPr>
          <w:rFonts w:ascii="Microsoft YaHei" w:hAnsi="Microsoft YaHei" w:eastAsia="Microsoft YaHei"/>
          <w:color w:val="000000"/>
          <w:sz w:val="20"/>
        </w:rPr>
        <w:t>设计阶段首先确定首个 Agent 的业务目标、用户、文件类型、输出格式和成功标准。</w:t>
      </w:r>
    </w:p>
    <w:p>
      <w:pPr>
        <w:pStyle w:val="ListBullet"/>
        <w:spacing w:after="40" w:line="252" w:lineRule="auto"/>
      </w:pPr>
      <w:r>
        <w:rPr>
          <w:rFonts w:ascii="Microsoft YaHei" w:hAnsi="Microsoft YaHei" w:eastAsia="Microsoft YaHei"/>
          <w:color w:val="000000"/>
          <w:sz w:val="20"/>
        </w:rPr>
        <w:t>Agent 模块必须通过统一执行服务启动，不能从前端或单个路由直接调用模型。</w:t>
      </w:r>
    </w:p>
    <w:p>
      <w:pPr>
        <w:pStyle w:val="ListBullet"/>
        <w:spacing w:after="40" w:line="252" w:lineRule="auto"/>
      </w:pPr>
      <w:r>
        <w:rPr>
          <w:rFonts w:ascii="Microsoft YaHei" w:hAnsi="Microsoft YaHei" w:eastAsia="Microsoft YaHei"/>
          <w:color w:val="000000"/>
          <w:sz w:val="20"/>
        </w:rPr>
        <w:t>Agent 的输入、输出、文件和错误状态沿用前两个月冻结的 DTO、权限、日志和任务链路。</w:t>
      </w:r>
    </w:p>
    <w:p>
      <w:pPr>
        <w:pStyle w:val="ListBullet"/>
        <w:spacing w:after="40" w:line="252" w:lineRule="auto"/>
      </w:pPr>
      <w:r>
        <w:rPr>
          <w:rFonts w:ascii="Microsoft YaHei" w:hAnsi="Microsoft YaHei" w:eastAsia="Microsoft YaHei"/>
          <w:color w:val="000000"/>
          <w:sz w:val="20"/>
        </w:rPr>
        <w:t>后续接入 LangGraph、RAG 或 Supervisor 时，继续复用当前权限、日志、任务和审计基础。</w:t>
      </w:r>
    </w:p>
    <w:p>
      <w:pPr>
        <w:pStyle w:val="ListBullet"/>
        <w:spacing w:after="40" w:line="252" w:lineRule="auto"/>
      </w:pPr>
      <w:r>
        <w:rPr>
          <w:rFonts w:ascii="Microsoft YaHei" w:hAnsi="Microsoft YaHei" w:eastAsia="Microsoft YaHei"/>
          <w:color w:val="000000"/>
          <w:sz w:val="20"/>
        </w:rPr>
        <w:t>每增加一个 Agent，必须同时提交接口说明、权限范围、测试样例、日志字段和回滚方案。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0"/>
        </w:rPr>
        <w:t>8 基础阶段完成标准</w:t>
      </w:r>
    </w:p>
    <w:p>
      <w:pPr>
        <w:pStyle w:val="ListBullet"/>
        <w:spacing w:after="40" w:line="252" w:lineRule="auto"/>
      </w:pPr>
      <w:r>
        <w:rPr>
          <w:rFonts w:ascii="Microsoft YaHei" w:hAnsi="Microsoft YaHei" w:eastAsia="Microsoft YaHei"/>
          <w:color w:val="000000"/>
          <w:sz w:val="20"/>
        </w:rPr>
        <w:t>员工和管理员可以登录并进入各自页面；停用账号无法继续访问。</w:t>
      </w:r>
    </w:p>
    <w:p>
      <w:pPr>
        <w:pStyle w:val="ListBullet"/>
        <w:spacing w:after="40" w:line="252" w:lineRule="auto"/>
      </w:pPr>
      <w:r>
        <w:rPr>
          <w:rFonts w:ascii="Microsoft YaHei" w:hAnsi="Microsoft YaHei" w:eastAsia="Microsoft YaHei"/>
          <w:color w:val="000000"/>
          <w:sz w:val="20"/>
        </w:rPr>
        <w:t>管理员可以维护用户状态、部门和 Agent 授权；普通员工只能看到后端授权结果。</w:t>
      </w:r>
    </w:p>
    <w:p>
      <w:pPr>
        <w:pStyle w:val="ListBullet"/>
        <w:spacing w:after="40" w:line="252" w:lineRule="auto"/>
      </w:pPr>
      <w:r>
        <w:rPr>
          <w:rFonts w:ascii="Microsoft YaHei" w:hAnsi="Microsoft YaHei" w:eastAsia="Microsoft YaHei"/>
          <w:color w:val="000000"/>
          <w:sz w:val="20"/>
        </w:rPr>
        <w:t>前端可以完成文件上传、任务提交、状态展示和结果查看的基础流程。</w:t>
      </w:r>
    </w:p>
    <w:p>
      <w:pPr>
        <w:pStyle w:val="ListBullet"/>
        <w:spacing w:after="40" w:line="252" w:lineRule="auto"/>
      </w:pPr>
      <w:r>
        <w:rPr>
          <w:rFonts w:ascii="Microsoft YaHei" w:hAnsi="Microsoft YaHei" w:eastAsia="Microsoft YaHei"/>
          <w:color w:val="000000"/>
          <w:sz w:val="20"/>
        </w:rPr>
        <w:t>后端请求、权限拒绝和任务异常都有 trace_id，可以在日志文件中定位。</w:t>
      </w:r>
    </w:p>
    <w:p>
      <w:pPr>
        <w:pStyle w:val="ListBullet"/>
        <w:spacing w:after="40" w:line="252" w:lineRule="auto"/>
      </w:pPr>
      <w:r>
        <w:rPr>
          <w:rFonts w:ascii="Microsoft YaHei" w:hAnsi="Microsoft YaHei" w:eastAsia="Microsoft YaHei"/>
          <w:color w:val="000000"/>
          <w:sz w:val="20"/>
        </w:rPr>
        <w:t>项目可以通过 Docker Compose 启动，四人电脑和测试服务器使用同一套环境配置方式。</w:t>
      </w:r>
    </w:p>
    <w:p>
      <w:pPr>
        <w:pStyle w:val="ListBullet"/>
        <w:spacing w:after="40" w:line="252" w:lineRule="auto"/>
      </w:pPr>
      <w:r>
        <w:rPr>
          <w:rFonts w:ascii="Microsoft YaHei" w:hAnsi="Microsoft YaHei" w:eastAsia="Microsoft YaHei"/>
          <w:color w:val="000000"/>
          <w:sz w:val="20"/>
        </w:rPr>
        <w:t>代码、接口、数据库迁移和部署文档均已提交 Git，并通过两组交叉评审。</w:t>
      </w:r>
    </w:p>
    <w:p>
      <w:pPr>
        <w:pStyle w:val="ListBullet"/>
        <w:spacing w:after="40" w:line="252" w:lineRule="auto"/>
      </w:pPr>
      <w:r>
        <w:rPr>
          <w:rFonts w:ascii="Microsoft YaHei" w:hAnsi="Microsoft YaHei" w:eastAsia="Microsoft YaHei"/>
          <w:color w:val="000000"/>
          <w:sz w:val="20"/>
        </w:rPr>
        <w:t>前两个月基础平台验收通过后，四人共同输出 Agent 设计方案和下一阶段排期。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6666"/>
        <w:sz w:val="17"/>
      </w:rPr>
      <w:t>AI Portal | 项目骨架阶段四人同步开发分工与整合计划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Portal 项目骨架阶段四人同步开发分工与整合计划</dc:title>
  <dc:subject>AI Portal 基础平台阶段团队分工</dc:subject>
  <dc:creator>AI Portal 项目组</dc:creator>
  <cp:keywords/>
  <dc:description>前两个月两组同步推进，基础平台验收后共同设计 Agent 模块。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