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General Rules of War in the Torah</w:t>
      </w:r>
    </w:p>
    <w:bookmarkStart w:id="10" w:name="offer-for-peace"/>
    <w:p>
      <w:pPr>
        <w:pStyle w:val="Heading1"/>
      </w:pPr>
      <w:r>
        <w:t xml:space="preserve">Offer for Peace</w:t>
      </w:r>
    </w:p>
    <w:p>
      <w:pPr>
        <w:pStyle w:val="Compact"/>
        <w:numPr>
          <w:ilvl w:val="0"/>
          <w:numId w:val="1001"/>
        </w:numPr>
      </w:pPr>
      <w:r>
        <w:t xml:space="preserve">Before getting to ארץ ישראל,‎ יהושע sent messages to the inhabitants. He gave the people of ארץ ישראל the opportunity to run away or make peace with כלל ישראל.</w:t>
      </w:r>
      <w:r>
        <w:br/>
      </w:r>
      <w:r>
        <w:t xml:space="preserve">The גרגשי took this opportunity and ran away to Africa, while the גבעונים and רחב made peace.</w:t>
      </w:r>
      <w:r>
        <w:rPr>
          <w:vertAlign w:val="superscript"/>
        </w:rPr>
        <w:t xml:space="preserve">[1]</w:t>
      </w:r>
    </w:p>
    <w:p>
      <w:pPr>
        <w:pStyle w:val="Compact"/>
        <w:numPr>
          <w:ilvl w:val="0"/>
          <w:numId w:val="1001"/>
        </w:numPr>
      </w:pPr>
      <w:r>
        <w:t xml:space="preserve">This offer for peace or to run away didn't only apply to whole provinces at large. It seems that individuals were allowed to make peace.</w:t>
      </w:r>
      <w:r>
        <w:rPr>
          <w:vertAlign w:val="superscript"/>
        </w:rPr>
        <w:t xml:space="preserve">[2]</w:t>
      </w:r>
    </w:p>
    <w:bookmarkStart w:id="9" w:name="preference-for-destruction"/>
    <w:p>
      <w:pPr>
        <w:pStyle w:val="Heading2"/>
      </w:pPr>
      <w:r>
        <w:t xml:space="preserve">Preference for Destruction</w:t>
      </w:r>
    </w:p>
    <w:p>
      <w:pPr>
        <w:pStyle w:val="Compact"/>
        <w:numPr>
          <w:ilvl w:val="0"/>
          <w:numId w:val="1002"/>
        </w:numPr>
      </w:pPr>
      <w:r>
        <w:t xml:space="preserve">Hashem preferred that כלל ישראל would destroy the people of כנען rather than make peace or allow them to run away.</w:t>
      </w:r>
      <w:r>
        <w:rPr>
          <w:vertAlign w:val="superscript"/>
        </w:rPr>
        <w:t xml:space="preserve">[3]</w:t>
      </w:r>
      <w:r>
        <w:br/>
      </w:r>
      <w:r>
        <w:t xml:space="preserve">(Presumably, this did not apply to רחב. She seemed to be a fully righteous convert.)</w:t>
      </w:r>
    </w:p>
    <w:bookmarkEnd w:id="9"/>
    <w:bookmarkEnd w:id="10"/>
    <w:bookmarkStart w:id="11" w:name="things-to-check-out"/>
    <w:p>
      <w:pPr>
        <w:pStyle w:val="Heading1"/>
      </w:pPr>
      <w:r>
        <w:t xml:space="preserve">Things to Check Out</w:t>
      </w:r>
    </w:p>
    <w:p>
      <w:pPr>
        <w:pStyle w:val="Compact"/>
        <w:numPr>
          <w:ilvl w:val="0"/>
          <w:numId w:val="1003"/>
        </w:numPr>
      </w:pPr>
      <w:r>
        <w:t xml:space="preserve">דברים כ י-יח</w:t>
      </w:r>
    </w:p>
    <w:p>
      <w:pPr>
        <w:pStyle w:val="Compact"/>
        <w:numPr>
          <w:ilvl w:val="0"/>
          <w:numId w:val="1003"/>
        </w:numPr>
      </w:pPr>
      <w:r>
        <w:t xml:space="preserve">דברים ז א-ה</w:t>
      </w:r>
    </w:p>
    <w:p>
      <w:pPr>
        <w:pStyle w:val="Compact"/>
        <w:numPr>
          <w:ilvl w:val="0"/>
          <w:numId w:val="1003"/>
        </w:numPr>
      </w:pPr>
      <w:r>
        <w:t xml:space="preserve">רמב"ם הלכות עבודה זרה י א</w:t>
      </w:r>
    </w:p>
    <w:p>
      <w:pPr>
        <w:pStyle w:val="Compact"/>
        <w:numPr>
          <w:ilvl w:val="0"/>
          <w:numId w:val="1003"/>
        </w:numPr>
      </w:pPr>
      <w:r>
        <w:t xml:space="preserve">רמב"ם הלכות מלכים ו ד</w:t>
      </w:r>
    </w:p>
    <w:bookmarkEnd w:id="11"/>
    <w:bookmarkStart w:id="15" w:name="footnotes"/>
    <w:p>
      <w:pPr>
        <w:pStyle w:val="Heading1"/>
      </w:pPr>
      <w:r>
        <w:t xml:space="preserve">Footnotes</w:t>
      </w:r>
    </w:p>
    <w:p>
      <w:r>
        <w:pict>
          <v:rect style="width:0;height:1.5pt" o:hralign="center" o:hrstd="t" o:hr="t"/>
        </w:pict>
      </w:r>
    </w:p>
    <w:bookmarkStart w:id="12" w:name="fn-1-8f15388ad2d25661"/>
    <w:p>
      <w:pPr>
        <w:numPr>
          <w:ilvl w:val="0"/>
          <w:numId w:val="1004"/>
        </w:numPr>
      </w:pPr>
      <w:r>
        <w:t xml:space="preserve">ירושלמי שביעית ו א, יהושע ב יב מלבי"ם שם</w:t>
      </w:r>
    </w:p>
    <w:bookmarkEnd w:id="12"/>
    <w:bookmarkStart w:id="13" w:name="fn-2-8f15388ad2d25661"/>
    <w:p>
      <w:pPr>
        <w:numPr>
          <w:ilvl w:val="0"/>
          <w:numId w:val="1004"/>
        </w:numPr>
      </w:pPr>
      <w:r>
        <w:t xml:space="preserve">Implied by יהושע ב יב מלבי"ם שם, יהושע ו א חומת אנך שם</w:t>
      </w:r>
    </w:p>
    <w:bookmarkEnd w:id="13"/>
    <w:bookmarkStart w:id="14" w:name="fn-3-8f15388ad2d25661"/>
    <w:p>
      <w:pPr>
        <w:numPr>
          <w:ilvl w:val="0"/>
          <w:numId w:val="1004"/>
        </w:numPr>
      </w:pPr>
      <w:r>
        <w:t xml:space="preserve">יהושע ו א חומת אנך שם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Rules of War in the Torah</dc:title>
  <dc:creator/>
  <cp:keywords/>
  <dcterms:created xsi:type="dcterms:W3CDTF">2026-09-07T02:13:48Z</dcterms:created>
  <dcterms:modified xsi:type="dcterms:W3CDTF">2026-09-07T02:13:48Z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