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16BAE">
      <w:pPr>
        <w:spacing w:before="0" w:after="120" w:line="312" w:lineRule="auto"/>
        <w:jc w:val="center"/>
      </w:pPr>
      <w:r>
        <w:rPr>
          <w:rFonts w:ascii="Times New Roman" w:hAnsi="Times New Roman" w:eastAsia="黑体"/>
          <w:b/>
          <w:color w:val="1E2761"/>
          <w:sz w:val="34"/>
        </w:rPr>
        <w:t>对 Christensen 等（2019）研究结果的计算可复现性检验报告</w:t>
      </w:r>
    </w:p>
    <w:p w14:paraId="525F9791">
      <w:pPr>
        <w:spacing w:before="0" w:after="40" w:line="360" w:lineRule="auto"/>
        <w:jc w:val="center"/>
      </w:pPr>
      <w:r>
        <w:rPr>
          <w:rFonts w:ascii="Times New Roman" w:hAnsi="Times New Roman" w:eastAsia="宋体"/>
          <w:b w:val="0"/>
          <w:color w:val="1F2937"/>
          <w:sz w:val="22"/>
        </w:rPr>
        <w:t>R 编程语言及其在心理学研究中的运用 · 期末作业</w:t>
      </w:r>
    </w:p>
    <w:p w14:paraId="390942FE">
      <w:pPr>
        <w:spacing w:before="0" w:after="200" w:line="360" w:lineRule="auto"/>
        <w:jc w:val="center"/>
      </w:pPr>
      <w:r>
        <w:rPr>
          <w:rFonts w:ascii="Times New Roman" w:hAnsi="Times New Roman" w:eastAsia="宋体"/>
          <w:b/>
          <w:color w:val="1F2937"/>
          <w:sz w:val="24"/>
        </w:rPr>
        <w:t>作者与分工：</w:t>
      </w:r>
      <w:r>
        <w:rPr>
          <w:rFonts w:ascii="Times New Roman" w:hAnsi="Times New Roman" w:eastAsia="宋体"/>
          <w:b w:val="0"/>
          <w:color w:val="1F2937"/>
          <w:sz w:val="24"/>
        </w:rPr>
        <w:t>独立完成（文献研读、代码复现、报告撰写与 PPT 制作均由本人承担；复现过程借助 AI 工具 Claude 协作执行与排查，判断与核验由本人主导）。</w:t>
      </w:r>
    </w:p>
    <w:p w14:paraId="443268D4">
      <w:pPr>
        <w:spacing w:before="0" w:after="40" w:line="360" w:lineRule="auto"/>
        <w:jc w:val="left"/>
      </w:pPr>
      <w:r>
        <w:rPr>
          <w:rFonts w:ascii="Times New Roman" w:hAnsi="Times New Roman" w:eastAsia="黑体"/>
          <w:b/>
          <w:color w:val="1F2937"/>
          <w:sz w:val="24"/>
        </w:rPr>
        <w:t>摘要</w:t>
      </w:r>
    </w:p>
    <w:p w14:paraId="4E5188C2">
      <w:pPr>
        <w:spacing w:before="0" w:after="120" w:line="360" w:lineRule="auto"/>
        <w:ind w:firstLine="480"/>
        <w:jc w:val="both"/>
      </w:pPr>
      <w:r>
        <w:rPr>
          <w:rFonts w:ascii="Times New Roman" w:hAnsi="Times New Roman" w:eastAsia="宋体"/>
          <w:b w:val="0"/>
          <w:color w:val="1F2937"/>
          <w:sz w:val="24"/>
        </w:rPr>
        <w:t>开放性（Openness to Experience）作为大五人格维度之一，其低阶分面（facet）结构长期存在争议。Christensen、Cotter 与 Silvia（2019，发表于 Journal of Personality Assessment）采用网络分析方法（TMFG 构网 + walktrap 社区检测），将四套开放性量表（NEO-PI-3、BFAS、HEXACO-100、Woo 等人 2014）共 138 道题构建为心理测量网络，识别出 10 个分面与 3 个高阶方面，并比较四套量表对该构念的概念覆盖。本研究在 R 4.5.2 环境下、全程借助 AI（Claude）协作，对其结果进行计算可复现性检验。结果显示：采用原文方法的推断性统计共 14 项结果全部“完全一致”（δ = 0%），5 个统计推断的推论全部与原文一致；网络结构逐题一致率达 92.8%，10 个分面一对一全部还原。唯一差异为新版 igraph 致 walktrap 自动识别的社区数由 10 变为 8（属软件包版本敏感性），经 cut_at(no=10) 强制切回 10 即与原文对齐。复现过程中另发现原分析文件遗漏 MANOVA 所需的分组变量，经 138 题“响应指纹”重建。总体而言，该文献的关键定量结果具有高计算可复现性。</w:t>
      </w:r>
    </w:p>
    <w:p w14:paraId="7C3307BA">
      <w:pPr>
        <w:spacing w:before="0" w:after="200" w:line="360" w:lineRule="auto"/>
        <w:jc w:val="left"/>
      </w:pPr>
      <w:r>
        <w:rPr>
          <w:rFonts w:ascii="Times New Roman" w:hAnsi="Times New Roman" w:eastAsia="宋体"/>
          <w:b/>
          <w:color w:val="1F2937"/>
          <w:sz w:val="24"/>
        </w:rPr>
        <w:t>关键词：</w:t>
      </w:r>
      <w:r>
        <w:rPr>
          <w:rFonts w:ascii="Times New Roman" w:hAnsi="Times New Roman" w:eastAsia="宋体"/>
          <w:b w:val="0"/>
          <w:color w:val="1F2937"/>
          <w:sz w:val="24"/>
        </w:rPr>
        <w:t>计算可复现性；开放性；网络分析；TMFG；MANOVA</w:t>
      </w:r>
    </w:p>
    <w:p w14:paraId="0B4945C9">
      <w:pPr>
        <w:spacing w:before="280" w:after="160" w:line="360" w:lineRule="auto"/>
        <w:jc w:val="left"/>
      </w:pPr>
      <w:r>
        <w:rPr>
          <w:rFonts w:ascii="Times New Roman" w:hAnsi="Times New Roman" w:eastAsia="黑体"/>
          <w:b/>
          <w:color w:val="1E2761"/>
          <w:sz w:val="30"/>
        </w:rPr>
        <w:t>1  引言</w:t>
      </w:r>
    </w:p>
    <w:p w14:paraId="676D066A">
      <w:pPr>
        <w:spacing w:before="160" w:after="120" w:line="360" w:lineRule="auto"/>
        <w:jc w:val="left"/>
      </w:pPr>
      <w:r>
        <w:rPr>
          <w:rFonts w:ascii="Times New Roman" w:hAnsi="Times New Roman" w:eastAsia="黑体"/>
          <w:b/>
          <w:color w:val="1E2761"/>
          <w:sz w:val="26"/>
        </w:rPr>
        <w:t>1.1  所选文献信息</w:t>
      </w:r>
    </w:p>
    <w:p w14:paraId="0B59B580">
      <w:pPr>
        <w:spacing w:before="160" w:after="40" w:line="360" w:lineRule="auto"/>
        <w:jc w:val="left"/>
      </w:pPr>
      <w:r>
        <w:rPr>
          <w:rFonts w:ascii="Times New Roman" w:hAnsi="Times New Roman" w:eastAsia="黑体"/>
          <w:b/>
          <w:color w:val="1F2937"/>
          <w:sz w:val="21"/>
        </w:rPr>
        <w:t>表 1  文献信息表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608"/>
        <w:gridCol w:w="1928"/>
        <w:gridCol w:w="2608"/>
      </w:tblGrid>
      <w:tr w14:paraId="27693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gridSpan w:val="4"/>
            <w:shd w:val="clear" w:color="auto" w:fill="1E2761"/>
            <w:vAlign w:val="center"/>
          </w:tcPr>
          <w:p w14:paraId="7539914F">
            <w:pPr>
              <w:spacing w:before="20" w:after="20" w:line="269" w:lineRule="auto"/>
              <w:jc w:val="left"/>
            </w:pPr>
            <w:r>
              <w:rPr>
                <w:rFonts w:ascii="Times New Roman" w:hAnsi="Times New Roman" w:eastAsia="宋体"/>
                <w:b/>
                <w:color w:val="FFFFFF"/>
                <w:sz w:val="21"/>
              </w:rPr>
              <w:t>1  文献基本信息</w:t>
            </w:r>
          </w:p>
        </w:tc>
      </w:tr>
      <w:tr w14:paraId="24CD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2F4F8"/>
            <w:vAlign w:val="center"/>
          </w:tcPr>
          <w:p w14:paraId="3FE507AB">
            <w:pPr>
              <w:spacing w:before="20" w:after="20" w:line="269" w:lineRule="auto"/>
              <w:jc w:val="left"/>
            </w:pPr>
            <w:r>
              <w:rPr>
                <w:rFonts w:ascii="Times New Roman" w:hAnsi="Times New Roman" w:eastAsia="宋体"/>
                <w:b/>
                <w:color w:val="1F2937"/>
                <w:sz w:val="19"/>
              </w:rPr>
              <w:t>所选文献</w:t>
            </w:r>
          </w:p>
        </w:tc>
        <w:tc>
          <w:tcPr>
            <w:tcW w:w="2608" w:type="dxa"/>
            <w:gridSpan w:val="3"/>
            <w:vAlign w:val="center"/>
          </w:tcPr>
          <w:p w14:paraId="2D6F43AE">
            <w:pPr>
              <w:spacing w:before="20" w:after="20" w:line="269" w:lineRule="auto"/>
              <w:jc w:val="left"/>
            </w:pPr>
            <w:r>
              <w:rPr>
                <w:rFonts w:ascii="Times New Roman" w:hAnsi="Times New Roman" w:eastAsia="宋体"/>
                <w:b w:val="0"/>
                <w:color w:val="1F2937"/>
                <w:sz w:val="19"/>
              </w:rPr>
              <w:t>Christensen, A. P., Cotter, K. N., &amp; Silvia, P. J. (2019). Reopening openness to experience: A network analysis of four openness to experience inventories. Journal of Personality Assessment, 101(6), 574–588. https://doi.org/10.1080/00223891.2018.1467428</w:t>
            </w:r>
          </w:p>
        </w:tc>
      </w:tr>
      <w:tr w14:paraId="5386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2F4F8"/>
            <w:vAlign w:val="center"/>
          </w:tcPr>
          <w:p w14:paraId="29C11366">
            <w:pPr>
              <w:spacing w:before="20" w:after="20" w:line="269" w:lineRule="auto"/>
              <w:jc w:val="left"/>
            </w:pPr>
            <w:r>
              <w:rPr>
                <w:rFonts w:ascii="Times New Roman" w:hAnsi="Times New Roman" w:eastAsia="宋体"/>
                <w:b/>
                <w:color w:val="1F2937"/>
                <w:sz w:val="19"/>
              </w:rPr>
              <w:t>数据来源</w:t>
            </w:r>
          </w:p>
        </w:tc>
        <w:tc>
          <w:tcPr>
            <w:tcW w:w="2608" w:type="dxa"/>
            <w:gridSpan w:val="3"/>
            <w:vAlign w:val="center"/>
          </w:tcPr>
          <w:p w14:paraId="0643ED71">
            <w:pPr>
              <w:spacing w:before="20" w:after="20" w:line="269" w:lineRule="auto"/>
              <w:jc w:val="left"/>
            </w:pPr>
            <w:r>
              <w:rPr>
                <w:rFonts w:ascii="Times New Roman" w:hAnsi="Times New Roman" w:eastAsia="宋体"/>
                <w:b w:val="0"/>
                <w:color w:val="1F2937"/>
                <w:sz w:val="19"/>
              </w:rPr>
              <w:t>OSF：https://osf.io/954a7/overview （数据亦内置于 R 包 NetworkToolbox 的 openness 数据集）</w:t>
            </w:r>
          </w:p>
        </w:tc>
      </w:tr>
      <w:tr w14:paraId="7CC2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gridSpan w:val="4"/>
            <w:shd w:val="clear" w:color="auto" w:fill="1E2761"/>
            <w:vAlign w:val="center"/>
          </w:tcPr>
          <w:p w14:paraId="5CE3F529">
            <w:pPr>
              <w:spacing w:before="20" w:after="20" w:line="269" w:lineRule="auto"/>
              <w:jc w:val="left"/>
            </w:pPr>
            <w:r>
              <w:rPr>
                <w:rFonts w:ascii="Times New Roman" w:hAnsi="Times New Roman" w:eastAsia="宋体"/>
                <w:b/>
                <w:color w:val="FFFFFF"/>
                <w:sz w:val="21"/>
              </w:rPr>
              <w:t>2  文献选取</w:t>
            </w:r>
          </w:p>
        </w:tc>
      </w:tr>
      <w:tr w14:paraId="6BB3B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2F4F8"/>
            <w:vAlign w:val="center"/>
          </w:tcPr>
          <w:p w14:paraId="72F795EA">
            <w:pPr>
              <w:spacing w:before="20" w:after="20" w:line="269" w:lineRule="auto"/>
              <w:jc w:val="left"/>
            </w:pPr>
            <w:r>
              <w:rPr>
                <w:rFonts w:ascii="Times New Roman" w:hAnsi="Times New Roman" w:eastAsia="宋体"/>
                <w:b/>
                <w:color w:val="1F2937"/>
                <w:sz w:val="19"/>
              </w:rPr>
              <w:t>文献主题是否包含不止一篇研究？</w:t>
            </w:r>
          </w:p>
        </w:tc>
        <w:tc>
          <w:tcPr>
            <w:tcW w:w="2608" w:type="dxa"/>
            <w:vAlign w:val="center"/>
          </w:tcPr>
          <w:p w14:paraId="15282633">
            <w:pPr>
              <w:spacing w:before="20" w:after="20" w:line="269" w:lineRule="auto"/>
              <w:jc w:val="left"/>
              <w:rPr>
                <w:rFonts w:hint="eastAsia" w:eastAsia="宋体"/>
                <w:lang w:eastAsia="zh-CN"/>
              </w:rPr>
            </w:pPr>
            <w:r>
              <w:rPr>
                <w:rFonts w:hint="eastAsia"/>
                <w:b w:val="0"/>
                <w:color w:val="1F2937"/>
                <w:sz w:val="19"/>
                <w:lang w:val="en-US" w:eastAsia="zh-CN"/>
              </w:rPr>
              <w:t>否</w:t>
            </w:r>
          </w:p>
        </w:tc>
        <w:tc>
          <w:tcPr>
            <w:tcW w:w="1928" w:type="dxa"/>
            <w:shd w:val="clear" w:color="auto" w:fill="F2F4F8"/>
            <w:vAlign w:val="center"/>
          </w:tcPr>
          <w:p w14:paraId="4D720F54">
            <w:pPr>
              <w:spacing w:before="20" w:after="20" w:line="269" w:lineRule="auto"/>
              <w:jc w:val="left"/>
            </w:pPr>
            <w:r>
              <w:rPr>
                <w:rFonts w:ascii="Times New Roman" w:hAnsi="Times New Roman" w:eastAsia="宋体"/>
                <w:b/>
                <w:color w:val="1F2937"/>
                <w:sz w:val="19"/>
              </w:rPr>
              <w:t>文献此前被其他研究者重复过？</w:t>
            </w:r>
          </w:p>
        </w:tc>
        <w:tc>
          <w:tcPr>
            <w:tcW w:w="2608" w:type="dxa"/>
            <w:vAlign w:val="center"/>
          </w:tcPr>
          <w:p w14:paraId="021A765F">
            <w:pPr>
              <w:spacing w:before="20" w:after="20" w:line="269" w:lineRule="auto"/>
              <w:jc w:val="left"/>
            </w:pPr>
            <w:r>
              <w:rPr>
                <w:rFonts w:ascii="Times New Roman" w:hAnsi="Times New Roman" w:eastAsia="宋体"/>
                <w:b w:val="0"/>
                <w:color w:val="1F2937"/>
                <w:sz w:val="19"/>
              </w:rPr>
              <w:t>否</w:t>
            </w:r>
          </w:p>
        </w:tc>
      </w:tr>
      <w:tr w14:paraId="07587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gridSpan w:val="4"/>
            <w:shd w:val="clear" w:color="auto" w:fill="1E2761"/>
            <w:vAlign w:val="center"/>
          </w:tcPr>
          <w:p w14:paraId="3D59A9DA">
            <w:pPr>
              <w:spacing w:before="20" w:after="20" w:line="269" w:lineRule="auto"/>
              <w:jc w:val="left"/>
            </w:pPr>
            <w:r>
              <w:rPr>
                <w:rFonts w:ascii="Times New Roman" w:hAnsi="Times New Roman" w:eastAsia="宋体"/>
                <w:b/>
                <w:color w:val="FFFFFF"/>
                <w:sz w:val="21"/>
              </w:rPr>
              <w:t>3  研究假设选取</w:t>
            </w:r>
          </w:p>
        </w:tc>
      </w:tr>
      <w:tr w14:paraId="12350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2F4F8"/>
            <w:vAlign w:val="center"/>
          </w:tcPr>
          <w:p w14:paraId="6851789E">
            <w:pPr>
              <w:spacing w:before="20" w:after="20" w:line="269" w:lineRule="auto"/>
              <w:jc w:val="left"/>
            </w:pPr>
            <w:r>
              <w:rPr>
                <w:rFonts w:ascii="Times New Roman" w:hAnsi="Times New Roman" w:eastAsia="宋体"/>
                <w:b/>
                <w:color w:val="1F2937"/>
                <w:sz w:val="19"/>
              </w:rPr>
              <w:t>重复的研究假设</w:t>
            </w:r>
          </w:p>
        </w:tc>
        <w:tc>
          <w:tcPr>
            <w:tcW w:w="2608" w:type="dxa"/>
            <w:gridSpan w:val="3"/>
            <w:vAlign w:val="center"/>
          </w:tcPr>
          <w:p w14:paraId="2B3F26CC">
            <w:pPr>
              <w:spacing w:before="20" w:after="20" w:line="269" w:lineRule="auto"/>
              <w:jc w:val="left"/>
            </w:pPr>
            <w:r>
              <w:rPr>
                <w:rFonts w:ascii="Times New Roman" w:hAnsi="Times New Roman" w:eastAsia="宋体"/>
                <w:b w:val="0"/>
                <w:color w:val="1F2937"/>
                <w:sz w:val="19"/>
              </w:rPr>
              <w:t>原文为单一研究、三批样本（Fall 2015 / Spring 2017 / MTurk）合并 N=802，含四块分析。【已复现】① 网络结构：TMFG 构网 + walktrap 社区检测 → 10 个分面 / 3 个高阶方面（Figure 1、Table 2）；② 四套量表的概念覆盖（Figure 2、SI 3–6）；③ 三批样本组间比较：MANOVA + Box's M（SI 7）。【未复现】④ facet 信度与相关（Table 3：各网络分面的 Rasch 信度 Rr 与相关）——需 Rasch 建模、超出课程统计方法范围，故未纳入复现选取，不计入 PE 评级。</w:t>
            </w:r>
          </w:p>
        </w:tc>
      </w:tr>
      <w:tr w14:paraId="22C3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2F4F8"/>
            <w:vAlign w:val="center"/>
          </w:tcPr>
          <w:p w14:paraId="47F2A97A">
            <w:pPr>
              <w:spacing w:before="20" w:after="20" w:line="269" w:lineRule="auto"/>
              <w:jc w:val="left"/>
            </w:pPr>
            <w:r>
              <w:rPr>
                <w:rFonts w:ascii="Times New Roman" w:hAnsi="Times New Roman" w:eastAsia="宋体"/>
                <w:b/>
                <w:color w:val="1F2937"/>
                <w:sz w:val="19"/>
              </w:rPr>
              <w:t>重复的研究假设是否在其他研究中经过重复？</w:t>
            </w:r>
          </w:p>
        </w:tc>
        <w:tc>
          <w:tcPr>
            <w:tcW w:w="2608" w:type="dxa"/>
            <w:vAlign w:val="center"/>
          </w:tcPr>
          <w:p w14:paraId="7A8610DA">
            <w:pPr>
              <w:spacing w:before="20" w:after="20" w:line="269" w:lineRule="auto"/>
              <w:jc w:val="left"/>
            </w:pPr>
            <w:r>
              <w:rPr>
                <w:rFonts w:ascii="Times New Roman" w:hAnsi="Times New Roman" w:eastAsia="宋体"/>
                <w:b w:val="0"/>
                <w:color w:val="1F2937"/>
                <w:sz w:val="19"/>
              </w:rPr>
              <w:t>否</w:t>
            </w:r>
          </w:p>
        </w:tc>
        <w:tc>
          <w:tcPr>
            <w:tcW w:w="1928" w:type="dxa"/>
            <w:shd w:val="clear" w:color="auto" w:fill="F2F4F8"/>
            <w:vAlign w:val="center"/>
          </w:tcPr>
          <w:p w14:paraId="464B0E27">
            <w:pPr>
              <w:spacing w:before="20" w:after="20" w:line="269" w:lineRule="auto"/>
              <w:jc w:val="left"/>
            </w:pPr>
            <w:r>
              <w:rPr>
                <w:rFonts w:ascii="Times New Roman" w:hAnsi="Times New Roman" w:eastAsia="宋体"/>
                <w:b/>
                <w:color w:val="1F2937"/>
                <w:sz w:val="19"/>
              </w:rPr>
              <w:t>文献共几个实验，重复的研究假设是第几个实验中的？</w:t>
            </w:r>
          </w:p>
        </w:tc>
        <w:tc>
          <w:tcPr>
            <w:tcW w:w="2608" w:type="dxa"/>
            <w:vAlign w:val="center"/>
          </w:tcPr>
          <w:p w14:paraId="12728FE3">
            <w:pPr>
              <w:spacing w:before="20" w:after="20" w:line="269" w:lineRule="auto"/>
              <w:jc w:val="left"/>
            </w:pPr>
            <w:r>
              <w:rPr>
                <w:rFonts w:ascii="Times New Roman" w:hAnsi="Times New Roman" w:eastAsia="宋体"/>
                <w:b w:val="0"/>
                <w:color w:val="1F2937"/>
                <w:sz w:val="19"/>
              </w:rPr>
              <w:t>原文非多实验 / 多研究结构，为对三批样本合并（N=802）的单一横断面研究；复现其主分析（网络结构 + 覆盖 + 组间 MANOVA），未选取信度/相关部分。</w:t>
            </w:r>
          </w:p>
        </w:tc>
      </w:tr>
      <w:tr w14:paraId="3D7E5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2F4F8"/>
            <w:vAlign w:val="center"/>
          </w:tcPr>
          <w:p w14:paraId="54073A4A">
            <w:pPr>
              <w:spacing w:before="20" w:after="20" w:line="269" w:lineRule="auto"/>
              <w:jc w:val="left"/>
            </w:pPr>
            <w:r>
              <w:rPr>
                <w:rFonts w:ascii="Times New Roman" w:hAnsi="Times New Roman" w:eastAsia="宋体"/>
                <w:b/>
                <w:color w:val="1F2937"/>
                <w:sz w:val="19"/>
              </w:rPr>
              <w:t>选择该假设的原因</w:t>
            </w:r>
          </w:p>
        </w:tc>
        <w:tc>
          <w:tcPr>
            <w:tcW w:w="2608" w:type="dxa"/>
            <w:gridSpan w:val="3"/>
            <w:vAlign w:val="center"/>
          </w:tcPr>
          <w:p w14:paraId="18CB51B6">
            <w:pPr>
              <w:spacing w:before="20" w:after="20" w:line="269" w:lineRule="auto"/>
              <w:jc w:val="left"/>
            </w:pPr>
            <w:r>
              <w:rPr>
                <w:rFonts w:ascii="Times New Roman" w:hAnsi="Times New Roman" w:eastAsia="宋体"/>
                <w:b w:val="0"/>
                <w:color w:val="1F2937"/>
                <w:sz w:val="19"/>
              </w:rPr>
              <w:t>网络分析与组间比较即文章核心结论所在；原文用 R（NetworkToolbox / qgraph / igraph）实现、MANOVA 属课程方法，复现可行。原文非多实验结构，故“默认复现最后一个实验”不适用，复现其主分析整体。</w:t>
            </w:r>
          </w:p>
        </w:tc>
      </w:tr>
      <w:tr w14:paraId="73067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gridSpan w:val="4"/>
            <w:shd w:val="clear" w:color="auto" w:fill="1E2761"/>
            <w:vAlign w:val="center"/>
          </w:tcPr>
          <w:p w14:paraId="285E2D95">
            <w:pPr>
              <w:spacing w:before="20" w:after="20" w:line="269" w:lineRule="auto"/>
              <w:jc w:val="left"/>
            </w:pPr>
            <w:r>
              <w:rPr>
                <w:rFonts w:ascii="Times New Roman" w:hAnsi="Times New Roman" w:eastAsia="宋体"/>
                <w:b/>
                <w:color w:val="FFFFFF"/>
                <w:sz w:val="21"/>
              </w:rPr>
              <w:t>4  数据集选取</w:t>
            </w:r>
          </w:p>
        </w:tc>
      </w:tr>
      <w:tr w14:paraId="4CECB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2F4F8"/>
            <w:vAlign w:val="center"/>
          </w:tcPr>
          <w:p w14:paraId="5331D00D">
            <w:pPr>
              <w:spacing w:before="20" w:after="20" w:line="269" w:lineRule="auto"/>
              <w:jc w:val="left"/>
            </w:pPr>
            <w:r>
              <w:rPr>
                <w:rFonts w:ascii="Times New Roman" w:hAnsi="Times New Roman" w:eastAsia="宋体"/>
                <w:b/>
                <w:color w:val="1F2937"/>
                <w:sz w:val="19"/>
              </w:rPr>
              <w:t>是否采用原始数据？</w:t>
            </w:r>
          </w:p>
        </w:tc>
        <w:tc>
          <w:tcPr>
            <w:tcW w:w="2608" w:type="dxa"/>
            <w:vAlign w:val="center"/>
          </w:tcPr>
          <w:p w14:paraId="12196025">
            <w:pPr>
              <w:spacing w:before="20" w:after="20" w:line="269" w:lineRule="auto"/>
              <w:jc w:val="left"/>
            </w:pPr>
            <w:r>
              <w:rPr>
                <w:rFonts w:ascii="Times New Roman" w:hAnsi="Times New Roman" w:eastAsia="宋体"/>
                <w:b w:val="0"/>
                <w:color w:val="1F2937"/>
                <w:sz w:val="19"/>
              </w:rPr>
              <w:t>否。原始数据未公开、原清洗在 SPSS 完成；OSF 仅提供处理后数据，故合规使用处理后数据（网络分析用 138 题 CSV；MANOVA 用 .sav，并以 138 题响应指纹重建分组变量 Group）。</w:t>
            </w:r>
          </w:p>
        </w:tc>
        <w:tc>
          <w:tcPr>
            <w:tcW w:w="1928" w:type="dxa"/>
            <w:shd w:val="clear" w:color="auto" w:fill="F2F4F8"/>
            <w:vAlign w:val="center"/>
          </w:tcPr>
          <w:p w14:paraId="3646D647">
            <w:pPr>
              <w:spacing w:before="20" w:after="20" w:line="269" w:lineRule="auto"/>
              <w:jc w:val="left"/>
            </w:pPr>
            <w:r>
              <w:rPr>
                <w:rFonts w:ascii="Times New Roman" w:hAnsi="Times New Roman" w:eastAsia="宋体"/>
                <w:b/>
                <w:color w:val="1F2937"/>
                <w:sz w:val="19"/>
              </w:rPr>
              <w:t>是否对样本量进行修改？</w:t>
            </w:r>
          </w:p>
        </w:tc>
        <w:tc>
          <w:tcPr>
            <w:tcW w:w="2608" w:type="dxa"/>
            <w:vAlign w:val="center"/>
          </w:tcPr>
          <w:p w14:paraId="4FCDB122">
            <w:pPr>
              <w:spacing w:before="20" w:after="20" w:line="269" w:lineRule="auto"/>
              <w:jc w:val="left"/>
            </w:pPr>
            <w:r>
              <w:rPr>
                <w:rFonts w:ascii="Times New Roman" w:hAnsi="Times New Roman" w:eastAsia="宋体"/>
                <w:b w:val="0"/>
                <w:color w:val="1F2937"/>
                <w:sz w:val="19"/>
              </w:rPr>
              <w:t>否（N = 802 保持不变）</w:t>
            </w:r>
          </w:p>
        </w:tc>
      </w:tr>
      <w:tr w14:paraId="54654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2F4F8"/>
            <w:vAlign w:val="center"/>
          </w:tcPr>
          <w:p w14:paraId="328C328C">
            <w:pPr>
              <w:spacing w:before="20" w:after="20" w:line="269" w:lineRule="auto"/>
              <w:jc w:val="left"/>
            </w:pPr>
            <w:r>
              <w:rPr>
                <w:rFonts w:ascii="Times New Roman" w:hAnsi="Times New Roman" w:eastAsia="宋体"/>
                <w:b/>
                <w:color w:val="1F2937"/>
                <w:sz w:val="19"/>
              </w:rPr>
              <w:t>若修改，报告原文样本量与修改后样本量</w:t>
            </w:r>
          </w:p>
        </w:tc>
        <w:tc>
          <w:tcPr>
            <w:tcW w:w="2608" w:type="dxa"/>
            <w:vAlign w:val="center"/>
          </w:tcPr>
          <w:p w14:paraId="751599D8">
            <w:pPr>
              <w:spacing w:before="20" w:after="20" w:line="269" w:lineRule="auto"/>
              <w:jc w:val="left"/>
            </w:pPr>
            <w:r>
              <w:rPr>
                <w:rFonts w:ascii="Times New Roman" w:hAnsi="Times New Roman" w:eastAsia="宋体"/>
                <w:b w:val="0"/>
                <w:color w:val="1F2937"/>
                <w:sz w:val="19"/>
              </w:rPr>
              <w:t>不适用（未修改；N=802，三组 176/108/518）</w:t>
            </w:r>
          </w:p>
        </w:tc>
        <w:tc>
          <w:tcPr>
            <w:tcW w:w="1928" w:type="dxa"/>
            <w:shd w:val="clear" w:color="auto" w:fill="F2F4F8"/>
            <w:vAlign w:val="center"/>
          </w:tcPr>
          <w:p w14:paraId="1B43D231">
            <w:pPr>
              <w:spacing w:before="20" w:after="20" w:line="269" w:lineRule="auto"/>
              <w:jc w:val="left"/>
            </w:pPr>
            <w:r>
              <w:rPr>
                <w:rFonts w:ascii="Times New Roman" w:hAnsi="Times New Roman" w:eastAsia="宋体"/>
                <w:b/>
                <w:color w:val="1F2937"/>
                <w:sz w:val="19"/>
              </w:rPr>
              <w:t>若修改，报告 G-power 计算的修改后样本量对应效应量</w:t>
            </w:r>
          </w:p>
        </w:tc>
        <w:tc>
          <w:tcPr>
            <w:tcW w:w="2608" w:type="dxa"/>
            <w:vAlign w:val="center"/>
          </w:tcPr>
          <w:p w14:paraId="0DCB8788">
            <w:pPr>
              <w:spacing w:before="20" w:after="20" w:line="269" w:lineRule="auto"/>
              <w:jc w:val="left"/>
            </w:pPr>
            <w:r>
              <w:rPr>
                <w:rFonts w:ascii="Times New Roman" w:hAnsi="Times New Roman" w:eastAsia="宋体"/>
                <w:b w:val="0"/>
                <w:color w:val="1F2937"/>
                <w:sz w:val="19"/>
              </w:rPr>
              <w:t>不适用（未</w:t>
            </w:r>
            <w:bookmarkStart w:id="0" w:name="_GoBack"/>
            <w:bookmarkEnd w:id="0"/>
            <w:r>
              <w:rPr>
                <w:rFonts w:ascii="Times New Roman" w:hAnsi="Times New Roman" w:eastAsia="宋体"/>
                <w:b w:val="0"/>
                <w:color w:val="1F2937"/>
                <w:sz w:val="19"/>
              </w:rPr>
              <w:t>修改）</w:t>
            </w:r>
          </w:p>
        </w:tc>
      </w:tr>
    </w:tbl>
    <w:p w14:paraId="57B25660">
      <w:pPr>
        <w:spacing w:before="0" w:after="40" w:line="360" w:lineRule="auto"/>
        <w:jc w:val="left"/>
      </w:pPr>
    </w:p>
    <w:p w14:paraId="115726DD">
      <w:pPr>
        <w:spacing w:before="160" w:after="120" w:line="360" w:lineRule="auto"/>
        <w:jc w:val="left"/>
      </w:pPr>
      <w:r>
        <w:rPr>
          <w:rFonts w:ascii="Times New Roman" w:hAnsi="Times New Roman" w:eastAsia="黑体"/>
          <w:b/>
          <w:color w:val="1E2761"/>
          <w:sz w:val="26"/>
        </w:rPr>
        <w:t>1.2  文献介绍</w:t>
      </w:r>
    </w:p>
    <w:p w14:paraId="450BD639">
      <w:pPr>
        <w:spacing w:before="0" w:after="120" w:line="360" w:lineRule="auto"/>
        <w:ind w:firstLine="480"/>
        <w:jc w:val="both"/>
      </w:pPr>
      <w:r>
        <w:rPr>
          <w:rFonts w:ascii="Times New Roman" w:hAnsi="Times New Roman" w:eastAsia="宋体"/>
          <w:b w:val="0"/>
          <w:color w:val="1F2937"/>
          <w:sz w:val="24"/>
        </w:rPr>
        <w:t>研究背景：传统上研究者将开放性区分为“体验”（Experiencing）与“智力”（Intellect）两个高阶方面。但在更细的分面层次上，不同量表对开放性的成分划分与覆盖各不相同，学界对其低阶结构尚无共识。</w:t>
      </w:r>
    </w:p>
    <w:p w14:paraId="4DE65F72">
      <w:pPr>
        <w:spacing w:before="0" w:after="120" w:line="360" w:lineRule="auto"/>
        <w:ind w:firstLine="480"/>
        <w:jc w:val="both"/>
      </w:pPr>
      <w:r>
        <w:rPr>
          <w:rFonts w:ascii="Times New Roman" w:hAnsi="Times New Roman" w:eastAsia="宋体"/>
          <w:b w:val="0"/>
          <w:color w:val="1F2937"/>
          <w:sz w:val="24"/>
        </w:rPr>
        <w:t>研究问题：四套主流开放性量表测量的是否为同一构念？开放性究竟由哪些成分构成？</w:t>
      </w:r>
    </w:p>
    <w:p w14:paraId="5927FBF6">
      <w:pPr>
        <w:spacing w:before="0" w:after="120" w:line="360" w:lineRule="auto"/>
        <w:ind w:firstLine="480"/>
        <w:jc w:val="both"/>
      </w:pPr>
      <w:r>
        <w:rPr>
          <w:rFonts w:ascii="Times New Roman" w:hAnsi="Times New Roman" w:eastAsia="宋体"/>
          <w:b w:val="0"/>
          <w:color w:val="1F2937"/>
          <w:sz w:val="24"/>
        </w:rPr>
        <w:t>方法概述：作者将四套量表的 138 道题视为节点、题目间相关视为边，用 TMFG 过滤构建稀疏网络，再以 walktrap 社区检测自下而上识别分面，并考察各量表对网络分面的覆盖。</w:t>
      </w:r>
    </w:p>
    <w:p w14:paraId="03B66378">
      <w:pPr>
        <w:spacing w:before="0" w:after="120" w:line="360" w:lineRule="auto"/>
        <w:ind w:firstLine="480"/>
        <w:jc w:val="both"/>
      </w:pPr>
      <w:r>
        <w:rPr>
          <w:rFonts w:ascii="Times New Roman" w:hAnsi="Times New Roman" w:eastAsia="宋体"/>
          <w:b w:val="0"/>
          <w:color w:val="1F2937"/>
          <w:sz w:val="24"/>
        </w:rPr>
        <w:t>主要结果与结论：138 题聚为 10 个分面、归入 3 个高阶方面（体验、智力，以及新增的“思想开放”Open-Mindedness）；四套量表测量同一大构念但覆盖极不均衡——Woo 等人的量表覆盖最广、最均衡，NEO 同样较广，而 BFAS 与 HEXACO 均未覆盖“思想开放”方面。</w:t>
      </w:r>
    </w:p>
    <w:p w14:paraId="6A296799">
      <w:pPr>
        <w:spacing w:before="280" w:after="160" w:line="360" w:lineRule="auto"/>
        <w:jc w:val="left"/>
      </w:pPr>
      <w:r>
        <w:rPr>
          <w:rFonts w:ascii="Times New Roman" w:hAnsi="Times New Roman" w:eastAsia="黑体"/>
          <w:b/>
          <w:color w:val="1E2761"/>
          <w:sz w:val="30"/>
        </w:rPr>
        <w:t>2  方法</w:t>
      </w:r>
    </w:p>
    <w:p w14:paraId="0CEF4915">
      <w:pPr>
        <w:spacing w:before="160" w:after="120" w:line="360" w:lineRule="auto"/>
        <w:jc w:val="left"/>
      </w:pPr>
      <w:r>
        <w:rPr>
          <w:rFonts w:ascii="Times New Roman" w:hAnsi="Times New Roman" w:eastAsia="黑体"/>
          <w:b/>
          <w:color w:val="1E2761"/>
          <w:sz w:val="26"/>
        </w:rPr>
        <w:t>2.1  样本</w:t>
      </w:r>
    </w:p>
    <w:p w14:paraId="3F9F03AB">
      <w:pPr>
        <w:spacing w:before="0" w:after="120" w:line="360" w:lineRule="auto"/>
        <w:ind w:firstLine="480"/>
        <w:jc w:val="both"/>
      </w:pPr>
      <w:r>
        <w:rPr>
          <w:rFonts w:ascii="Times New Roman" w:hAnsi="Times New Roman" w:eastAsia="宋体"/>
          <w:b w:val="0"/>
          <w:color w:val="1F2937"/>
          <w:sz w:val="24"/>
        </w:rPr>
        <w:t>本研究使用原文公开的处理后数据，总样本 N = 802，来自三批来源：Fall 2015 大学生样本（n = 176）、Spring 2017 大学生样本（n = 108）、Amazon MTurk 样本（n = 518）。原始数据未公开、原始清洗在 SPSS 中完成，故合规使用处理后数据，未对样本量进行任何修改。</w:t>
      </w:r>
    </w:p>
    <w:p w14:paraId="0AE6197D">
      <w:pPr>
        <w:spacing w:before="160" w:after="120" w:line="360" w:lineRule="auto"/>
        <w:jc w:val="left"/>
      </w:pPr>
      <w:r>
        <w:rPr>
          <w:rFonts w:ascii="Times New Roman" w:hAnsi="Times New Roman" w:eastAsia="黑体"/>
          <w:b/>
          <w:color w:val="1E2761"/>
          <w:sz w:val="26"/>
        </w:rPr>
        <w:t>2.2  原研究方法简介</w:t>
      </w:r>
    </w:p>
    <w:p w14:paraId="11ACC808">
      <w:pPr>
        <w:spacing w:before="0" w:after="120" w:line="360" w:lineRule="auto"/>
        <w:ind w:firstLine="480"/>
        <w:jc w:val="both"/>
      </w:pPr>
      <w:r>
        <w:rPr>
          <w:rFonts w:ascii="Times New Roman" w:hAnsi="Times New Roman" w:eastAsia="宋体"/>
          <w:b w:val="0"/>
          <w:color w:val="1F2937"/>
          <w:sz w:val="24"/>
        </w:rPr>
        <w:t>原研究为横断面设计。网络分析部分使用 TMFG（Triangulated Maximally Filtered Graph）将 138×138 的零阶相关矩阵过滤为仅保留 3n−6 = 408 条边的平面网络，再用 walktrap 社区检测算法识别分面，并以图形方式考察四套量表的概念覆盖；组间比较部分使用 MANOVA 与 Box's M 检验三批样本的均值与协方差结构差异。原文使用 R 语言实现，主要依赖 NetworkToolbox、qgraph 与 igraph 三个程序包。</w:t>
      </w:r>
    </w:p>
    <w:p w14:paraId="4E524C36">
      <w:pPr>
        <w:spacing w:before="160" w:after="120" w:line="360" w:lineRule="auto"/>
        <w:jc w:val="left"/>
      </w:pPr>
      <w:r>
        <w:rPr>
          <w:rFonts w:ascii="Times New Roman" w:hAnsi="Times New Roman" w:eastAsia="黑体"/>
          <w:b/>
          <w:color w:val="1E2761"/>
          <w:sz w:val="26"/>
        </w:rPr>
        <w:t>2.3  重复思路说明</w:t>
      </w:r>
    </w:p>
    <w:p w14:paraId="366696EF">
      <w:pPr>
        <w:spacing w:before="0" w:after="120" w:line="360" w:lineRule="auto"/>
        <w:ind w:firstLine="480"/>
        <w:jc w:val="both"/>
      </w:pPr>
      <w:r>
        <w:rPr>
          <w:rFonts w:ascii="Times New Roman" w:hAnsi="Times New Roman" w:eastAsia="宋体"/>
          <w:b w:val="0"/>
          <w:color w:val="1F2937"/>
          <w:sz w:val="24"/>
        </w:rPr>
        <w:t>复现选取：本研究复现原文的三部分主分析——① 网络结构、② 概念覆盖、③ 组间 MANOVA 与 Box's M；未选取 facet 信度与相关（原文 Table 3）部分，因其依赖 Rasch 建模、超出课程统计方法范围，故不纳入复现选取，亦不计入百分误差（PE）评级。</w:t>
      </w:r>
    </w:p>
    <w:p w14:paraId="7FAE88AE">
      <w:pPr>
        <w:spacing w:before="0" w:after="120" w:line="360" w:lineRule="auto"/>
        <w:ind w:firstLine="480"/>
        <w:jc w:val="both"/>
      </w:pPr>
      <w:r>
        <w:rPr>
          <w:rFonts w:ascii="Times New Roman" w:hAnsi="Times New Roman" w:eastAsia="宋体"/>
          <w:b w:val="0"/>
          <w:color w:val="1F2937"/>
          <w:sz w:val="24"/>
        </w:rPr>
        <w:t>复现环境与改动：复现在 R 4.5.2 下进行，程序包版本为 NetworkToolbox 1.4.4、qgraph 1.9.8、igraph 2.3.2。复现中有两处必要处理：其一，新版 igraph 使 walktrap 自动识别的社区数由原文的 10 变为 8（方法本身无差异），采用 cut_at(no = 10) 在同一聚类树上强制切回 10 个社区以与原文对齐；其二，原分析文件（.sav）缺失 MANOVA 所需的分组变量 Group（仅含无关的 DBHTgroup），本研究利用每位被试 138 题的完整作答序列作为“响应指纹”，将 802 人匹配回三个源文件，无损重建分组变量（176 / 108 / 518）。</w:t>
      </w:r>
    </w:p>
    <w:p w14:paraId="63015D40">
      <w:pPr>
        <w:spacing w:before="0" w:after="120" w:line="360" w:lineRule="auto"/>
        <w:ind w:firstLine="480"/>
        <w:jc w:val="both"/>
      </w:pPr>
      <w:r>
        <w:rPr>
          <w:rFonts w:ascii="Times New Roman" w:hAnsi="Times New Roman" w:eastAsia="宋体"/>
          <w:b w:val="0"/>
          <w:color w:val="1F2937"/>
          <w:sz w:val="24"/>
        </w:rPr>
        <w:t>AI 协作工作流：本次复现全程借助 AI 工具（Claude）协作。具体做法为：先建立项目文件夹并撰写 CLAUDE.md 作为项目“记忆”（供工具每次自动读取、了解任务背景），再由 AI 协助拆解任务、维护进度追踪表；复现时由 AI 协助编写与调试代码、排查报错，关键思路（如指纹重建分组）经讨论形成。需强调的是，分析方向、结果取舍与正确性判断均由本人主导，AI 输出一律以原文报告值为标尺逐项核验后方采信——属“有人引导的 AI 协作”，而非完全由 AI 生成。</w:t>
      </w:r>
    </w:p>
    <w:p w14:paraId="12C0FD62">
      <w:pPr>
        <w:spacing w:before="280" w:after="160" w:line="360" w:lineRule="auto"/>
        <w:jc w:val="left"/>
      </w:pPr>
      <w:r>
        <w:rPr>
          <w:rFonts w:ascii="Times New Roman" w:hAnsi="Times New Roman" w:eastAsia="黑体"/>
          <w:b/>
          <w:color w:val="1E2761"/>
          <w:sz w:val="30"/>
        </w:rPr>
        <w:t>3  结果</w:t>
      </w:r>
    </w:p>
    <w:p w14:paraId="01751E9A">
      <w:pPr>
        <w:spacing w:before="160" w:after="120" w:line="360" w:lineRule="auto"/>
        <w:jc w:val="left"/>
      </w:pPr>
      <w:r>
        <w:rPr>
          <w:rFonts w:ascii="Times New Roman" w:hAnsi="Times New Roman" w:eastAsia="黑体"/>
          <w:b/>
          <w:color w:val="1E2761"/>
          <w:sz w:val="26"/>
        </w:rPr>
        <w:t>3.1  描述性统计</w:t>
      </w:r>
    </w:p>
    <w:p w14:paraId="638DF32B">
      <w:pPr>
        <w:spacing w:before="0" w:after="120" w:line="360" w:lineRule="auto"/>
        <w:ind w:firstLine="480"/>
        <w:jc w:val="both"/>
      </w:pPr>
      <w:r>
        <w:rPr>
          <w:rFonts w:ascii="Times New Roman" w:hAnsi="Times New Roman" w:eastAsia="宋体"/>
          <w:b w:val="0"/>
          <w:color w:val="1F2937"/>
          <w:sz w:val="24"/>
        </w:rPr>
        <w:t>原文（正文 Table 1–3 及补充材料）未报告各题或各分面的均值与标准差，仅报告 Rasch 信度，故描述性统计的可复现性检验聚焦于样本量 N。复现所得各样本量与原文逐项一致，见表 2。</w:t>
      </w:r>
    </w:p>
    <w:p w14:paraId="47BCDCC1">
      <w:pPr>
        <w:spacing w:before="160" w:after="40" w:line="360" w:lineRule="auto"/>
        <w:jc w:val="left"/>
      </w:pPr>
      <w:r>
        <w:rPr>
          <w:rFonts w:ascii="Times New Roman" w:hAnsi="Times New Roman" w:eastAsia="黑体"/>
          <w:b/>
          <w:color w:val="1F2937"/>
          <w:sz w:val="21"/>
        </w:rPr>
        <w:t>表 2  描述性统计结果的比较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1701"/>
        <w:gridCol w:w="1644"/>
        <w:gridCol w:w="1644"/>
        <w:gridCol w:w="1644"/>
      </w:tblGrid>
      <w:tr w14:paraId="53D6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1E2761"/>
            <w:vAlign w:val="center"/>
          </w:tcPr>
          <w:p w14:paraId="2BF6AE14">
            <w:pPr>
              <w:spacing w:before="20" w:after="20" w:line="276" w:lineRule="auto"/>
              <w:jc w:val="left"/>
            </w:pPr>
            <w:r>
              <w:rPr>
                <w:rFonts w:ascii="Times New Roman" w:hAnsi="Times New Roman" w:eastAsia="宋体"/>
                <w:b/>
                <w:color w:val="FFFFFF"/>
                <w:sz w:val="20"/>
              </w:rPr>
              <w:t>描述统计量</w:t>
            </w:r>
          </w:p>
        </w:tc>
        <w:tc>
          <w:tcPr>
            <w:tcW w:w="1701" w:type="dxa"/>
            <w:shd w:val="clear" w:color="auto" w:fill="1E2761"/>
            <w:vAlign w:val="center"/>
          </w:tcPr>
          <w:p w14:paraId="2A88C55E">
            <w:pPr>
              <w:spacing w:before="20" w:after="20" w:line="276" w:lineRule="auto"/>
              <w:jc w:val="center"/>
            </w:pPr>
            <w:r>
              <w:rPr>
                <w:rFonts w:ascii="Times New Roman" w:hAnsi="Times New Roman" w:eastAsia="宋体"/>
                <w:b/>
                <w:color w:val="FFFFFF"/>
                <w:sz w:val="20"/>
              </w:rPr>
              <w:t>总样本 N</w:t>
            </w:r>
          </w:p>
        </w:tc>
        <w:tc>
          <w:tcPr>
            <w:tcW w:w="1644" w:type="dxa"/>
            <w:shd w:val="clear" w:color="auto" w:fill="1E2761"/>
            <w:vAlign w:val="center"/>
          </w:tcPr>
          <w:p w14:paraId="7A8C1777">
            <w:pPr>
              <w:spacing w:before="20" w:after="20" w:line="276" w:lineRule="auto"/>
              <w:jc w:val="center"/>
            </w:pPr>
            <w:r>
              <w:rPr>
                <w:rFonts w:ascii="Times New Roman" w:hAnsi="Times New Roman" w:eastAsia="宋体"/>
                <w:b/>
                <w:color w:val="FFFFFF"/>
                <w:sz w:val="20"/>
              </w:rPr>
              <w:t>样本1(Fall)</w:t>
            </w:r>
          </w:p>
        </w:tc>
        <w:tc>
          <w:tcPr>
            <w:tcW w:w="1644" w:type="dxa"/>
            <w:shd w:val="clear" w:color="auto" w:fill="1E2761"/>
            <w:vAlign w:val="center"/>
          </w:tcPr>
          <w:p w14:paraId="3BD63522">
            <w:pPr>
              <w:spacing w:before="20" w:after="20" w:line="276" w:lineRule="auto"/>
              <w:jc w:val="center"/>
            </w:pPr>
            <w:r>
              <w:rPr>
                <w:rFonts w:ascii="Times New Roman" w:hAnsi="Times New Roman" w:eastAsia="宋体"/>
                <w:b/>
                <w:color w:val="FFFFFF"/>
                <w:sz w:val="20"/>
              </w:rPr>
              <w:t>样本2(Spring)</w:t>
            </w:r>
          </w:p>
        </w:tc>
        <w:tc>
          <w:tcPr>
            <w:tcW w:w="1644" w:type="dxa"/>
            <w:shd w:val="clear" w:color="auto" w:fill="1E2761"/>
            <w:vAlign w:val="center"/>
          </w:tcPr>
          <w:p w14:paraId="615B4B1F">
            <w:pPr>
              <w:spacing w:before="20" w:after="20" w:line="276" w:lineRule="auto"/>
              <w:jc w:val="center"/>
            </w:pPr>
            <w:r>
              <w:rPr>
                <w:rFonts w:ascii="Times New Roman" w:hAnsi="Times New Roman" w:eastAsia="宋体"/>
                <w:b/>
                <w:color w:val="FFFFFF"/>
                <w:sz w:val="20"/>
              </w:rPr>
              <w:t>样本3(MTurk)</w:t>
            </w:r>
          </w:p>
        </w:tc>
      </w:tr>
      <w:tr w14:paraId="6EDF0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48559185">
            <w:pPr>
              <w:spacing w:before="20" w:after="20" w:line="276" w:lineRule="auto"/>
              <w:jc w:val="left"/>
            </w:pPr>
            <w:r>
              <w:rPr>
                <w:rFonts w:ascii="Times New Roman" w:hAnsi="Times New Roman" w:eastAsia="宋体"/>
                <w:b w:val="0"/>
                <w:color w:val="1F2937"/>
                <w:sz w:val="20"/>
              </w:rPr>
              <w:t>原研究报告</w:t>
            </w:r>
          </w:p>
        </w:tc>
        <w:tc>
          <w:tcPr>
            <w:tcW w:w="1701" w:type="dxa"/>
            <w:vAlign w:val="center"/>
          </w:tcPr>
          <w:p w14:paraId="5BAA698A">
            <w:pPr>
              <w:spacing w:before="20" w:after="20" w:line="276" w:lineRule="auto"/>
              <w:jc w:val="center"/>
            </w:pPr>
            <w:r>
              <w:rPr>
                <w:rFonts w:ascii="Times New Roman" w:hAnsi="Times New Roman" w:eastAsia="宋体"/>
                <w:b w:val="0"/>
                <w:color w:val="1F2937"/>
                <w:sz w:val="20"/>
              </w:rPr>
              <w:t>802</w:t>
            </w:r>
          </w:p>
        </w:tc>
        <w:tc>
          <w:tcPr>
            <w:tcW w:w="1644" w:type="dxa"/>
            <w:vAlign w:val="center"/>
          </w:tcPr>
          <w:p w14:paraId="7B1CED02">
            <w:pPr>
              <w:spacing w:before="20" w:after="20" w:line="276" w:lineRule="auto"/>
              <w:jc w:val="center"/>
            </w:pPr>
            <w:r>
              <w:rPr>
                <w:rFonts w:ascii="Times New Roman" w:hAnsi="Times New Roman" w:eastAsia="宋体"/>
                <w:b w:val="0"/>
                <w:color w:val="1F2937"/>
                <w:sz w:val="20"/>
              </w:rPr>
              <w:t>176</w:t>
            </w:r>
          </w:p>
        </w:tc>
        <w:tc>
          <w:tcPr>
            <w:tcW w:w="1644" w:type="dxa"/>
            <w:vAlign w:val="center"/>
          </w:tcPr>
          <w:p w14:paraId="1D01F9E0">
            <w:pPr>
              <w:spacing w:before="20" w:after="20" w:line="276" w:lineRule="auto"/>
              <w:jc w:val="center"/>
            </w:pPr>
            <w:r>
              <w:rPr>
                <w:rFonts w:ascii="Times New Roman" w:hAnsi="Times New Roman" w:eastAsia="宋体"/>
                <w:b w:val="0"/>
                <w:color w:val="1F2937"/>
                <w:sz w:val="20"/>
              </w:rPr>
              <w:t>108</w:t>
            </w:r>
          </w:p>
        </w:tc>
        <w:tc>
          <w:tcPr>
            <w:tcW w:w="1644" w:type="dxa"/>
            <w:vAlign w:val="center"/>
          </w:tcPr>
          <w:p w14:paraId="70F24849">
            <w:pPr>
              <w:spacing w:before="20" w:after="20" w:line="276" w:lineRule="auto"/>
              <w:jc w:val="center"/>
            </w:pPr>
            <w:r>
              <w:rPr>
                <w:rFonts w:ascii="Times New Roman" w:hAnsi="Times New Roman" w:eastAsia="宋体"/>
                <w:b w:val="0"/>
                <w:color w:val="1F2937"/>
                <w:sz w:val="20"/>
              </w:rPr>
              <w:t>518</w:t>
            </w:r>
          </w:p>
        </w:tc>
      </w:tr>
      <w:tr w14:paraId="09623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2F4F8"/>
            <w:vAlign w:val="center"/>
          </w:tcPr>
          <w:p w14:paraId="5829C8B9">
            <w:pPr>
              <w:spacing w:before="20" w:after="20" w:line="276" w:lineRule="auto"/>
              <w:jc w:val="left"/>
            </w:pPr>
            <w:r>
              <w:rPr>
                <w:rFonts w:ascii="Times New Roman" w:hAnsi="Times New Roman" w:eastAsia="宋体"/>
                <w:b w:val="0"/>
                <w:color w:val="1F2937"/>
                <w:sz w:val="20"/>
              </w:rPr>
              <w:t>本研究复现</w:t>
            </w:r>
          </w:p>
        </w:tc>
        <w:tc>
          <w:tcPr>
            <w:tcW w:w="1701" w:type="dxa"/>
            <w:shd w:val="clear" w:color="auto" w:fill="F2F4F8"/>
            <w:vAlign w:val="center"/>
          </w:tcPr>
          <w:p w14:paraId="79E162E5">
            <w:pPr>
              <w:spacing w:before="20" w:after="20" w:line="276" w:lineRule="auto"/>
              <w:jc w:val="center"/>
            </w:pPr>
            <w:r>
              <w:rPr>
                <w:rFonts w:ascii="Times New Roman" w:hAnsi="Times New Roman" w:eastAsia="宋体"/>
                <w:b w:val="0"/>
                <w:color w:val="1F2937"/>
                <w:sz w:val="20"/>
              </w:rPr>
              <w:t>802</w:t>
            </w:r>
          </w:p>
        </w:tc>
        <w:tc>
          <w:tcPr>
            <w:tcW w:w="1644" w:type="dxa"/>
            <w:shd w:val="clear" w:color="auto" w:fill="F2F4F8"/>
            <w:vAlign w:val="center"/>
          </w:tcPr>
          <w:p w14:paraId="6D951E12">
            <w:pPr>
              <w:spacing w:before="20" w:after="20" w:line="276" w:lineRule="auto"/>
              <w:jc w:val="center"/>
            </w:pPr>
            <w:r>
              <w:rPr>
                <w:rFonts w:ascii="Times New Roman" w:hAnsi="Times New Roman" w:eastAsia="宋体"/>
                <w:b w:val="0"/>
                <w:color w:val="1F2937"/>
                <w:sz w:val="20"/>
              </w:rPr>
              <w:t>176</w:t>
            </w:r>
          </w:p>
        </w:tc>
        <w:tc>
          <w:tcPr>
            <w:tcW w:w="1644" w:type="dxa"/>
            <w:shd w:val="clear" w:color="auto" w:fill="F2F4F8"/>
            <w:vAlign w:val="center"/>
          </w:tcPr>
          <w:p w14:paraId="680A2D9B">
            <w:pPr>
              <w:spacing w:before="20" w:after="20" w:line="276" w:lineRule="auto"/>
              <w:jc w:val="center"/>
            </w:pPr>
            <w:r>
              <w:rPr>
                <w:rFonts w:ascii="Times New Roman" w:hAnsi="Times New Roman" w:eastAsia="宋体"/>
                <w:b w:val="0"/>
                <w:color w:val="1F2937"/>
                <w:sz w:val="20"/>
              </w:rPr>
              <w:t>108</w:t>
            </w:r>
          </w:p>
        </w:tc>
        <w:tc>
          <w:tcPr>
            <w:tcW w:w="1644" w:type="dxa"/>
            <w:shd w:val="clear" w:color="auto" w:fill="F2F4F8"/>
            <w:vAlign w:val="center"/>
          </w:tcPr>
          <w:p w14:paraId="2F772213">
            <w:pPr>
              <w:spacing w:before="20" w:after="20" w:line="276" w:lineRule="auto"/>
              <w:jc w:val="center"/>
            </w:pPr>
            <w:r>
              <w:rPr>
                <w:rFonts w:ascii="Times New Roman" w:hAnsi="Times New Roman" w:eastAsia="宋体"/>
                <w:b w:val="0"/>
                <w:color w:val="1F2937"/>
                <w:sz w:val="20"/>
              </w:rPr>
              <w:t>518</w:t>
            </w:r>
          </w:p>
        </w:tc>
      </w:tr>
      <w:tr w14:paraId="664D2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07E7EED">
            <w:pPr>
              <w:spacing w:before="20" w:after="20" w:line="276" w:lineRule="auto"/>
              <w:jc w:val="left"/>
            </w:pPr>
            <w:r>
              <w:rPr>
                <w:rFonts w:ascii="Times New Roman" w:hAnsi="Times New Roman" w:eastAsia="宋体"/>
                <w:b w:val="0"/>
                <w:color w:val="1F2937"/>
                <w:sz w:val="20"/>
              </w:rPr>
              <w:t>δ (PE)</w:t>
            </w:r>
          </w:p>
        </w:tc>
        <w:tc>
          <w:tcPr>
            <w:tcW w:w="1701" w:type="dxa"/>
            <w:vAlign w:val="center"/>
          </w:tcPr>
          <w:p w14:paraId="4411E1AE">
            <w:pPr>
              <w:spacing w:before="20" w:after="20" w:line="276" w:lineRule="auto"/>
              <w:jc w:val="center"/>
            </w:pPr>
            <w:r>
              <w:rPr>
                <w:rFonts w:ascii="Times New Roman" w:hAnsi="Times New Roman" w:eastAsia="宋体"/>
                <w:b w:val="0"/>
                <w:color w:val="1F2937"/>
                <w:sz w:val="20"/>
              </w:rPr>
              <w:t>0%</w:t>
            </w:r>
          </w:p>
        </w:tc>
        <w:tc>
          <w:tcPr>
            <w:tcW w:w="1644" w:type="dxa"/>
            <w:vAlign w:val="center"/>
          </w:tcPr>
          <w:p w14:paraId="140A8250">
            <w:pPr>
              <w:spacing w:before="20" w:after="20" w:line="276" w:lineRule="auto"/>
              <w:jc w:val="center"/>
            </w:pPr>
            <w:r>
              <w:rPr>
                <w:rFonts w:ascii="Times New Roman" w:hAnsi="Times New Roman" w:eastAsia="宋体"/>
                <w:b w:val="0"/>
                <w:color w:val="1F2937"/>
                <w:sz w:val="20"/>
              </w:rPr>
              <w:t>0%</w:t>
            </w:r>
          </w:p>
        </w:tc>
        <w:tc>
          <w:tcPr>
            <w:tcW w:w="1644" w:type="dxa"/>
            <w:vAlign w:val="center"/>
          </w:tcPr>
          <w:p w14:paraId="5F3E9A9B">
            <w:pPr>
              <w:spacing w:before="20" w:after="20" w:line="276" w:lineRule="auto"/>
              <w:jc w:val="center"/>
            </w:pPr>
            <w:r>
              <w:rPr>
                <w:rFonts w:ascii="Times New Roman" w:hAnsi="Times New Roman" w:eastAsia="宋体"/>
                <w:b w:val="0"/>
                <w:color w:val="1F2937"/>
                <w:sz w:val="20"/>
              </w:rPr>
              <w:t>0%</w:t>
            </w:r>
          </w:p>
        </w:tc>
        <w:tc>
          <w:tcPr>
            <w:tcW w:w="1644" w:type="dxa"/>
            <w:vAlign w:val="center"/>
          </w:tcPr>
          <w:p w14:paraId="0056F0AC">
            <w:pPr>
              <w:spacing w:before="20" w:after="20" w:line="276" w:lineRule="auto"/>
              <w:jc w:val="center"/>
            </w:pPr>
            <w:r>
              <w:rPr>
                <w:rFonts w:ascii="Times New Roman" w:hAnsi="Times New Roman" w:eastAsia="宋体"/>
                <w:b w:val="0"/>
                <w:color w:val="1F2937"/>
                <w:sz w:val="20"/>
              </w:rPr>
              <w:t>0%</w:t>
            </w:r>
          </w:p>
        </w:tc>
      </w:tr>
      <w:tr w14:paraId="45551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2F4F8"/>
            <w:vAlign w:val="center"/>
          </w:tcPr>
          <w:p w14:paraId="0F5BF056">
            <w:pPr>
              <w:spacing w:before="20" w:after="20" w:line="276" w:lineRule="auto"/>
              <w:jc w:val="left"/>
            </w:pPr>
            <w:r>
              <w:rPr>
                <w:rFonts w:ascii="Times New Roman" w:hAnsi="Times New Roman" w:eastAsia="宋体"/>
                <w:b w:val="0"/>
                <w:color w:val="1F2937"/>
                <w:sz w:val="20"/>
              </w:rPr>
              <w:t>可复现性评级</w:t>
            </w:r>
          </w:p>
        </w:tc>
        <w:tc>
          <w:tcPr>
            <w:tcW w:w="1701" w:type="dxa"/>
            <w:shd w:val="clear" w:color="auto" w:fill="F2F4F8"/>
            <w:vAlign w:val="center"/>
          </w:tcPr>
          <w:p w14:paraId="753A61B0">
            <w:pPr>
              <w:spacing w:before="20" w:after="20" w:line="276" w:lineRule="auto"/>
              <w:jc w:val="center"/>
            </w:pPr>
            <w:r>
              <w:rPr>
                <w:rFonts w:ascii="Times New Roman" w:hAnsi="Times New Roman" w:eastAsia="宋体"/>
                <w:b w:val="0"/>
                <w:color w:val="1F2937"/>
                <w:sz w:val="20"/>
              </w:rPr>
              <w:t>完全一致</w:t>
            </w:r>
          </w:p>
        </w:tc>
        <w:tc>
          <w:tcPr>
            <w:tcW w:w="1644" w:type="dxa"/>
            <w:shd w:val="clear" w:color="auto" w:fill="F2F4F8"/>
            <w:vAlign w:val="center"/>
          </w:tcPr>
          <w:p w14:paraId="68C06038">
            <w:pPr>
              <w:spacing w:before="20" w:after="20" w:line="276" w:lineRule="auto"/>
              <w:jc w:val="center"/>
            </w:pPr>
            <w:r>
              <w:rPr>
                <w:rFonts w:ascii="Times New Roman" w:hAnsi="Times New Roman" w:eastAsia="宋体"/>
                <w:b w:val="0"/>
                <w:color w:val="1F2937"/>
                <w:sz w:val="20"/>
              </w:rPr>
              <w:t>完全一致</w:t>
            </w:r>
          </w:p>
        </w:tc>
        <w:tc>
          <w:tcPr>
            <w:tcW w:w="1644" w:type="dxa"/>
            <w:shd w:val="clear" w:color="auto" w:fill="F2F4F8"/>
            <w:vAlign w:val="center"/>
          </w:tcPr>
          <w:p w14:paraId="693DE4B1">
            <w:pPr>
              <w:spacing w:before="20" w:after="20" w:line="276" w:lineRule="auto"/>
              <w:jc w:val="center"/>
            </w:pPr>
            <w:r>
              <w:rPr>
                <w:rFonts w:ascii="Times New Roman" w:hAnsi="Times New Roman" w:eastAsia="宋体"/>
                <w:b w:val="0"/>
                <w:color w:val="1F2937"/>
                <w:sz w:val="20"/>
              </w:rPr>
              <w:t>完全一致</w:t>
            </w:r>
          </w:p>
        </w:tc>
        <w:tc>
          <w:tcPr>
            <w:tcW w:w="1644" w:type="dxa"/>
            <w:shd w:val="clear" w:color="auto" w:fill="F2F4F8"/>
            <w:vAlign w:val="center"/>
          </w:tcPr>
          <w:p w14:paraId="6B301D3E">
            <w:pPr>
              <w:spacing w:before="20" w:after="20" w:line="276" w:lineRule="auto"/>
              <w:jc w:val="center"/>
            </w:pPr>
            <w:r>
              <w:rPr>
                <w:rFonts w:ascii="Times New Roman" w:hAnsi="Times New Roman" w:eastAsia="宋体"/>
                <w:b w:val="0"/>
                <w:color w:val="1F2937"/>
                <w:sz w:val="20"/>
              </w:rPr>
              <w:t>完全一致</w:t>
            </w:r>
          </w:p>
        </w:tc>
      </w:tr>
    </w:tbl>
    <w:p w14:paraId="70929A87">
      <w:pPr>
        <w:spacing w:before="0" w:after="20" w:line="288" w:lineRule="auto"/>
        <w:jc w:val="left"/>
      </w:pPr>
      <w:r>
        <w:rPr>
          <w:rFonts w:ascii="Times New Roman" w:hAnsi="Times New Roman" w:eastAsia="宋体"/>
          <w:b w:val="0"/>
          <w:color w:val="6B7280"/>
          <w:sz w:val="18"/>
        </w:rPr>
        <w:t>注：原文未报告各题 Mean/SD（仅报 Rasch 信度），无对比基准，故描述统计聚焦样本量 N。</w:t>
      </w:r>
    </w:p>
    <w:p w14:paraId="0B506C2F">
      <w:pPr>
        <w:spacing w:before="0" w:after="40" w:line="360" w:lineRule="auto"/>
        <w:jc w:val="left"/>
      </w:pPr>
    </w:p>
    <w:p w14:paraId="4074E441">
      <w:pPr>
        <w:spacing w:before="160" w:after="120" w:line="360" w:lineRule="auto"/>
        <w:jc w:val="left"/>
      </w:pPr>
      <w:r>
        <w:rPr>
          <w:rFonts w:ascii="Times New Roman" w:hAnsi="Times New Roman" w:eastAsia="黑体"/>
          <w:b/>
          <w:color w:val="1E2761"/>
          <w:sz w:val="26"/>
        </w:rPr>
        <w:t>3.2  推断性统计</w:t>
      </w:r>
    </w:p>
    <w:p w14:paraId="2FD43D8A">
      <w:pPr>
        <w:spacing w:before="0" w:after="80" w:line="360" w:lineRule="auto"/>
        <w:jc w:val="left"/>
      </w:pPr>
      <w:r>
        <w:rPr>
          <w:rFonts w:ascii="Times New Roman" w:hAnsi="Times New Roman" w:eastAsia="黑体"/>
          <w:b/>
          <w:color w:val="1F2937"/>
          <w:sz w:val="24"/>
        </w:rPr>
        <w:t>3.2.1  使用与原文献相同方法的推断性统计</w:t>
      </w:r>
    </w:p>
    <w:p w14:paraId="2B2980C8">
      <w:pPr>
        <w:spacing w:before="0" w:after="120" w:line="360" w:lineRule="auto"/>
        <w:ind w:firstLine="480"/>
        <w:jc w:val="both"/>
      </w:pPr>
      <w:r>
        <w:rPr>
          <w:rFonts w:ascii="Times New Roman" w:hAnsi="Times New Roman" w:eastAsia="宋体"/>
          <w:b w:val="0"/>
          <w:color w:val="1F2937"/>
          <w:sz w:val="24"/>
        </w:rPr>
        <w:t>采用原文方法（R 的 manova 函数、test = "Pillai"；biotools::boxM）复现三组整体及两两 MANOVA 与 Box's M。各统计量与原文（SI 7）逐项对比见表 3，百分误差均小于 0.1%（按原文报告精度四舍五入后逐一相等）。</w:t>
      </w:r>
    </w:p>
    <w:p w14:paraId="047F0636">
      <w:pPr>
        <w:spacing w:before="160" w:after="40" w:line="360" w:lineRule="auto"/>
        <w:jc w:val="left"/>
      </w:pPr>
      <w:r>
        <w:rPr>
          <w:rFonts w:ascii="Times New Roman" w:hAnsi="Times New Roman" w:eastAsia="黑体"/>
          <w:b/>
          <w:color w:val="1F2937"/>
          <w:sz w:val="21"/>
        </w:rPr>
        <w:t>表 3  推断性统计结果的比较（原文献方法）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268"/>
        <w:gridCol w:w="2268"/>
        <w:gridCol w:w="1361"/>
      </w:tblGrid>
      <w:tr w14:paraId="138FC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1E2761"/>
            <w:vAlign w:val="center"/>
          </w:tcPr>
          <w:p w14:paraId="584FCE7E">
            <w:pPr>
              <w:spacing w:before="20" w:after="20" w:line="276" w:lineRule="auto"/>
              <w:jc w:val="left"/>
            </w:pPr>
            <w:r>
              <w:rPr>
                <w:rFonts w:ascii="Times New Roman" w:hAnsi="Times New Roman" w:eastAsia="宋体"/>
                <w:b/>
                <w:color w:val="FFFFFF"/>
                <w:sz w:val="20"/>
              </w:rPr>
              <w:t>效应（统计量）</w:t>
            </w:r>
          </w:p>
        </w:tc>
        <w:tc>
          <w:tcPr>
            <w:tcW w:w="2268" w:type="dxa"/>
            <w:shd w:val="clear" w:color="auto" w:fill="1E2761"/>
            <w:vAlign w:val="center"/>
          </w:tcPr>
          <w:p w14:paraId="350E43B1">
            <w:pPr>
              <w:spacing w:before="20" w:after="20" w:line="276" w:lineRule="auto"/>
              <w:jc w:val="center"/>
            </w:pPr>
            <w:r>
              <w:rPr>
                <w:rFonts w:ascii="Times New Roman" w:hAnsi="Times New Roman" w:eastAsia="宋体"/>
                <w:b/>
                <w:color w:val="FFFFFF"/>
                <w:sz w:val="20"/>
              </w:rPr>
              <w:t>原文报告</w:t>
            </w:r>
          </w:p>
        </w:tc>
        <w:tc>
          <w:tcPr>
            <w:tcW w:w="2268" w:type="dxa"/>
            <w:shd w:val="clear" w:color="auto" w:fill="1E2761"/>
            <w:vAlign w:val="center"/>
          </w:tcPr>
          <w:p w14:paraId="52CE8EAF">
            <w:pPr>
              <w:spacing w:before="20" w:after="20" w:line="276" w:lineRule="auto"/>
              <w:jc w:val="center"/>
            </w:pPr>
            <w:r>
              <w:rPr>
                <w:rFonts w:ascii="Times New Roman" w:hAnsi="Times New Roman" w:eastAsia="宋体"/>
                <w:b/>
                <w:color w:val="FFFFFF"/>
                <w:sz w:val="20"/>
              </w:rPr>
              <w:t>本研究复现</w:t>
            </w:r>
          </w:p>
        </w:tc>
        <w:tc>
          <w:tcPr>
            <w:tcW w:w="1361" w:type="dxa"/>
            <w:shd w:val="clear" w:color="auto" w:fill="1E2761"/>
            <w:vAlign w:val="center"/>
          </w:tcPr>
          <w:p w14:paraId="77CEE6CC">
            <w:pPr>
              <w:spacing w:before="20" w:after="20" w:line="276" w:lineRule="auto"/>
              <w:jc w:val="center"/>
            </w:pPr>
            <w:r>
              <w:rPr>
                <w:rFonts w:ascii="Times New Roman" w:hAnsi="Times New Roman" w:eastAsia="宋体"/>
                <w:b/>
                <w:color w:val="FFFFFF"/>
                <w:sz w:val="20"/>
              </w:rPr>
              <w:t>评级</w:t>
            </w:r>
          </w:p>
        </w:tc>
      </w:tr>
      <w:tr w14:paraId="7BC53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21E06C65">
            <w:pPr>
              <w:spacing w:before="20" w:after="20" w:line="276" w:lineRule="auto"/>
              <w:jc w:val="left"/>
            </w:pPr>
            <w:r>
              <w:rPr>
                <w:rFonts w:ascii="Times New Roman" w:hAnsi="Times New Roman" w:eastAsia="宋体"/>
                <w:b w:val="0"/>
                <w:color w:val="1F2937"/>
                <w:sz w:val="20"/>
              </w:rPr>
              <w:t>三组整体 MANOVA  F</w:t>
            </w:r>
          </w:p>
        </w:tc>
        <w:tc>
          <w:tcPr>
            <w:tcW w:w="2268" w:type="dxa"/>
            <w:vAlign w:val="center"/>
          </w:tcPr>
          <w:p w14:paraId="47942188">
            <w:pPr>
              <w:spacing w:before="20" w:after="20" w:line="276" w:lineRule="auto"/>
              <w:jc w:val="center"/>
            </w:pPr>
            <w:r>
              <w:rPr>
                <w:rFonts w:ascii="Times New Roman" w:hAnsi="Times New Roman" w:eastAsia="宋体"/>
                <w:b w:val="0"/>
                <w:color w:val="1F2937"/>
                <w:sz w:val="20"/>
              </w:rPr>
              <w:t>4.43</w:t>
            </w:r>
          </w:p>
        </w:tc>
        <w:tc>
          <w:tcPr>
            <w:tcW w:w="2268" w:type="dxa"/>
            <w:vAlign w:val="center"/>
          </w:tcPr>
          <w:p w14:paraId="78728AE4">
            <w:pPr>
              <w:spacing w:before="20" w:after="20" w:line="276" w:lineRule="auto"/>
              <w:jc w:val="center"/>
            </w:pPr>
            <w:r>
              <w:rPr>
                <w:rFonts w:ascii="Times New Roman" w:hAnsi="Times New Roman" w:eastAsia="宋体"/>
                <w:b w:val="0"/>
                <w:color w:val="1F2937"/>
                <w:sz w:val="20"/>
              </w:rPr>
              <w:t>4.4308</w:t>
            </w:r>
          </w:p>
        </w:tc>
        <w:tc>
          <w:tcPr>
            <w:tcW w:w="1361" w:type="dxa"/>
            <w:vAlign w:val="center"/>
          </w:tcPr>
          <w:p w14:paraId="424FFFED">
            <w:pPr>
              <w:spacing w:before="20" w:after="20" w:line="276" w:lineRule="auto"/>
              <w:jc w:val="center"/>
            </w:pPr>
            <w:r>
              <w:rPr>
                <w:rFonts w:ascii="Times New Roman" w:hAnsi="Times New Roman" w:eastAsia="宋体"/>
                <w:b w:val="0"/>
                <w:color w:val="1F2937"/>
                <w:sz w:val="20"/>
              </w:rPr>
              <w:t>完全一致</w:t>
            </w:r>
          </w:p>
        </w:tc>
      </w:tr>
      <w:tr w14:paraId="3E0CF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F2F4F8"/>
            <w:vAlign w:val="center"/>
          </w:tcPr>
          <w:p w14:paraId="2A22FECA">
            <w:pPr>
              <w:spacing w:before="20" w:after="20" w:line="276" w:lineRule="auto"/>
              <w:jc w:val="left"/>
            </w:pPr>
            <w:r>
              <w:rPr>
                <w:rFonts w:ascii="Times New Roman" w:hAnsi="Times New Roman" w:eastAsia="宋体"/>
                <w:b w:val="0"/>
                <w:color w:val="1F2937"/>
                <w:sz w:val="20"/>
              </w:rPr>
              <w:t>三组整体  Pillai</w:t>
            </w:r>
          </w:p>
        </w:tc>
        <w:tc>
          <w:tcPr>
            <w:tcW w:w="2268" w:type="dxa"/>
            <w:shd w:val="clear" w:color="auto" w:fill="F2F4F8"/>
            <w:vAlign w:val="center"/>
          </w:tcPr>
          <w:p w14:paraId="2E9B8D3E">
            <w:pPr>
              <w:spacing w:before="20" w:after="20" w:line="276" w:lineRule="auto"/>
              <w:jc w:val="center"/>
            </w:pPr>
            <w:r>
              <w:rPr>
                <w:rFonts w:ascii="Times New Roman" w:hAnsi="Times New Roman" w:eastAsia="宋体"/>
                <w:b w:val="0"/>
                <w:color w:val="1F2937"/>
                <w:sz w:val="20"/>
              </w:rPr>
              <w:t>0.960</w:t>
            </w:r>
          </w:p>
        </w:tc>
        <w:tc>
          <w:tcPr>
            <w:tcW w:w="2268" w:type="dxa"/>
            <w:shd w:val="clear" w:color="auto" w:fill="F2F4F8"/>
            <w:vAlign w:val="center"/>
          </w:tcPr>
          <w:p w14:paraId="2E69161E">
            <w:pPr>
              <w:spacing w:before="20" w:after="20" w:line="276" w:lineRule="auto"/>
              <w:jc w:val="center"/>
            </w:pPr>
            <w:r>
              <w:rPr>
                <w:rFonts w:ascii="Times New Roman" w:hAnsi="Times New Roman" w:eastAsia="宋体"/>
                <w:b w:val="0"/>
                <w:color w:val="1F2937"/>
                <w:sz w:val="20"/>
              </w:rPr>
              <w:t>0.9596</w:t>
            </w:r>
          </w:p>
        </w:tc>
        <w:tc>
          <w:tcPr>
            <w:tcW w:w="1361" w:type="dxa"/>
            <w:shd w:val="clear" w:color="auto" w:fill="F2F4F8"/>
            <w:vAlign w:val="center"/>
          </w:tcPr>
          <w:p w14:paraId="04D62137">
            <w:pPr>
              <w:spacing w:before="20" w:after="20" w:line="276" w:lineRule="auto"/>
              <w:jc w:val="center"/>
            </w:pPr>
            <w:r>
              <w:rPr>
                <w:rFonts w:ascii="Times New Roman" w:hAnsi="Times New Roman" w:eastAsia="宋体"/>
                <w:b w:val="0"/>
                <w:color w:val="1F2937"/>
                <w:sz w:val="20"/>
              </w:rPr>
              <w:t>完全一致</w:t>
            </w:r>
          </w:p>
        </w:tc>
      </w:tr>
      <w:tr w14:paraId="3A46B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24BCC8AE">
            <w:pPr>
              <w:spacing w:before="20" w:after="20" w:line="276" w:lineRule="auto"/>
              <w:jc w:val="left"/>
            </w:pPr>
            <w:r>
              <w:rPr>
                <w:rFonts w:ascii="Times New Roman" w:hAnsi="Times New Roman" w:eastAsia="宋体"/>
                <w:b w:val="0"/>
                <w:color w:val="1F2937"/>
                <w:sz w:val="20"/>
              </w:rPr>
              <w:t>1 vs 2  F / Pillai</w:t>
            </w:r>
          </w:p>
        </w:tc>
        <w:tc>
          <w:tcPr>
            <w:tcW w:w="2268" w:type="dxa"/>
            <w:vAlign w:val="center"/>
          </w:tcPr>
          <w:p w14:paraId="3D70ECE5">
            <w:pPr>
              <w:spacing w:before="20" w:after="20" w:line="276" w:lineRule="auto"/>
              <w:jc w:val="center"/>
            </w:pPr>
            <w:r>
              <w:rPr>
                <w:rFonts w:ascii="Times New Roman" w:hAnsi="Times New Roman" w:eastAsia="宋体"/>
                <w:b w:val="0"/>
                <w:color w:val="1F2937"/>
                <w:sz w:val="20"/>
              </w:rPr>
              <w:t>1.95 / .650</w:t>
            </w:r>
          </w:p>
        </w:tc>
        <w:tc>
          <w:tcPr>
            <w:tcW w:w="2268" w:type="dxa"/>
            <w:vAlign w:val="center"/>
          </w:tcPr>
          <w:p w14:paraId="50624A23">
            <w:pPr>
              <w:spacing w:before="20" w:after="20" w:line="276" w:lineRule="auto"/>
              <w:jc w:val="center"/>
            </w:pPr>
            <w:r>
              <w:rPr>
                <w:rFonts w:ascii="Times New Roman" w:hAnsi="Times New Roman" w:eastAsia="宋体"/>
                <w:b w:val="0"/>
                <w:color w:val="1F2937"/>
                <w:sz w:val="20"/>
              </w:rPr>
              <w:t>1.9516 / .650</w:t>
            </w:r>
          </w:p>
        </w:tc>
        <w:tc>
          <w:tcPr>
            <w:tcW w:w="1361" w:type="dxa"/>
            <w:vAlign w:val="center"/>
          </w:tcPr>
          <w:p w14:paraId="280EE509">
            <w:pPr>
              <w:spacing w:before="20" w:after="20" w:line="276" w:lineRule="auto"/>
              <w:jc w:val="center"/>
            </w:pPr>
            <w:r>
              <w:rPr>
                <w:rFonts w:ascii="Times New Roman" w:hAnsi="Times New Roman" w:eastAsia="宋体"/>
                <w:b w:val="0"/>
                <w:color w:val="1F2937"/>
                <w:sz w:val="20"/>
              </w:rPr>
              <w:t>完全一致</w:t>
            </w:r>
          </w:p>
        </w:tc>
      </w:tr>
      <w:tr w14:paraId="14480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F2F4F8"/>
            <w:vAlign w:val="center"/>
          </w:tcPr>
          <w:p w14:paraId="4D83F4B1">
            <w:pPr>
              <w:spacing w:before="20" w:after="20" w:line="276" w:lineRule="auto"/>
              <w:jc w:val="left"/>
            </w:pPr>
            <w:r>
              <w:rPr>
                <w:rFonts w:ascii="Times New Roman" w:hAnsi="Times New Roman" w:eastAsia="宋体"/>
                <w:b w:val="0"/>
                <w:color w:val="1F2937"/>
                <w:sz w:val="20"/>
              </w:rPr>
              <w:t>1 vs 3  F / Pillai</w:t>
            </w:r>
          </w:p>
        </w:tc>
        <w:tc>
          <w:tcPr>
            <w:tcW w:w="2268" w:type="dxa"/>
            <w:shd w:val="clear" w:color="auto" w:fill="F2F4F8"/>
            <w:vAlign w:val="center"/>
          </w:tcPr>
          <w:p w14:paraId="25B77064">
            <w:pPr>
              <w:spacing w:before="20" w:after="20" w:line="276" w:lineRule="auto"/>
              <w:jc w:val="center"/>
            </w:pPr>
            <w:r>
              <w:rPr>
                <w:rFonts w:ascii="Times New Roman" w:hAnsi="Times New Roman" w:eastAsia="宋体"/>
                <w:b w:val="0"/>
                <w:color w:val="1F2937"/>
                <w:sz w:val="20"/>
              </w:rPr>
              <w:t>8.34 / .675</w:t>
            </w:r>
          </w:p>
        </w:tc>
        <w:tc>
          <w:tcPr>
            <w:tcW w:w="2268" w:type="dxa"/>
            <w:shd w:val="clear" w:color="auto" w:fill="F2F4F8"/>
            <w:vAlign w:val="center"/>
          </w:tcPr>
          <w:p w14:paraId="7C07C1BA">
            <w:pPr>
              <w:spacing w:before="20" w:after="20" w:line="276" w:lineRule="auto"/>
              <w:jc w:val="center"/>
            </w:pPr>
            <w:r>
              <w:rPr>
                <w:rFonts w:ascii="Times New Roman" w:hAnsi="Times New Roman" w:eastAsia="宋体"/>
                <w:b w:val="0"/>
                <w:color w:val="1F2937"/>
                <w:sz w:val="20"/>
              </w:rPr>
              <w:t>8.3412 / .6747</w:t>
            </w:r>
          </w:p>
        </w:tc>
        <w:tc>
          <w:tcPr>
            <w:tcW w:w="1361" w:type="dxa"/>
            <w:shd w:val="clear" w:color="auto" w:fill="F2F4F8"/>
            <w:vAlign w:val="center"/>
          </w:tcPr>
          <w:p w14:paraId="3D5D4851">
            <w:pPr>
              <w:spacing w:before="20" w:after="20" w:line="276" w:lineRule="auto"/>
              <w:jc w:val="center"/>
            </w:pPr>
            <w:r>
              <w:rPr>
                <w:rFonts w:ascii="Times New Roman" w:hAnsi="Times New Roman" w:eastAsia="宋体"/>
                <w:b w:val="0"/>
                <w:color w:val="1F2937"/>
                <w:sz w:val="20"/>
              </w:rPr>
              <w:t>完全一致</w:t>
            </w:r>
          </w:p>
        </w:tc>
      </w:tr>
      <w:tr w14:paraId="44261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3996BB62">
            <w:pPr>
              <w:spacing w:before="20" w:after="20" w:line="276" w:lineRule="auto"/>
              <w:jc w:val="left"/>
            </w:pPr>
            <w:r>
              <w:rPr>
                <w:rFonts w:ascii="Times New Roman" w:hAnsi="Times New Roman" w:eastAsia="宋体"/>
                <w:b w:val="0"/>
                <w:color w:val="1F2937"/>
                <w:sz w:val="20"/>
              </w:rPr>
              <w:t>2 vs 3  F / Pillai</w:t>
            </w:r>
          </w:p>
        </w:tc>
        <w:tc>
          <w:tcPr>
            <w:tcW w:w="2268" w:type="dxa"/>
            <w:vAlign w:val="center"/>
          </w:tcPr>
          <w:p w14:paraId="5DB34AE7">
            <w:pPr>
              <w:spacing w:before="20" w:after="20" w:line="276" w:lineRule="auto"/>
              <w:jc w:val="center"/>
            </w:pPr>
            <w:r>
              <w:rPr>
                <w:rFonts w:ascii="Times New Roman" w:hAnsi="Times New Roman" w:eastAsia="宋体"/>
                <w:b w:val="0"/>
                <w:color w:val="1F2937"/>
                <w:sz w:val="20"/>
              </w:rPr>
              <w:t>5.62 / .614</w:t>
            </w:r>
          </w:p>
        </w:tc>
        <w:tc>
          <w:tcPr>
            <w:tcW w:w="2268" w:type="dxa"/>
            <w:vAlign w:val="center"/>
          </w:tcPr>
          <w:p w14:paraId="15AD51CF">
            <w:pPr>
              <w:spacing w:before="20" w:after="20" w:line="276" w:lineRule="auto"/>
              <w:jc w:val="center"/>
            </w:pPr>
            <w:r>
              <w:rPr>
                <w:rFonts w:ascii="Times New Roman" w:hAnsi="Times New Roman" w:eastAsia="宋体"/>
                <w:b w:val="0"/>
                <w:color w:val="1F2937"/>
                <w:sz w:val="20"/>
              </w:rPr>
              <w:t>5.6191 / .6142</w:t>
            </w:r>
          </w:p>
        </w:tc>
        <w:tc>
          <w:tcPr>
            <w:tcW w:w="1361" w:type="dxa"/>
            <w:vAlign w:val="center"/>
          </w:tcPr>
          <w:p w14:paraId="00732DF4">
            <w:pPr>
              <w:spacing w:before="20" w:after="20" w:line="276" w:lineRule="auto"/>
              <w:jc w:val="center"/>
            </w:pPr>
            <w:r>
              <w:rPr>
                <w:rFonts w:ascii="Times New Roman" w:hAnsi="Times New Roman" w:eastAsia="宋体"/>
                <w:b w:val="0"/>
                <w:color w:val="1F2937"/>
                <w:sz w:val="20"/>
              </w:rPr>
              <w:t>完全一致</w:t>
            </w:r>
          </w:p>
        </w:tc>
      </w:tr>
      <w:tr w14:paraId="6B83A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F2F4F8"/>
            <w:vAlign w:val="center"/>
          </w:tcPr>
          <w:p w14:paraId="50C19B5F">
            <w:pPr>
              <w:spacing w:before="20" w:after="20" w:line="276" w:lineRule="auto"/>
              <w:jc w:val="left"/>
            </w:pPr>
            <w:r>
              <w:rPr>
                <w:rFonts w:ascii="Times New Roman" w:hAnsi="Times New Roman" w:eastAsia="宋体"/>
                <w:b w:val="0"/>
                <w:color w:val="1F2937"/>
                <w:sz w:val="20"/>
              </w:rPr>
              <w:t>Box's M (1 vs 3)</w:t>
            </w:r>
          </w:p>
        </w:tc>
        <w:tc>
          <w:tcPr>
            <w:tcW w:w="2268" w:type="dxa"/>
            <w:shd w:val="clear" w:color="auto" w:fill="F2F4F8"/>
            <w:vAlign w:val="center"/>
          </w:tcPr>
          <w:p w14:paraId="2AD9CDA8">
            <w:pPr>
              <w:spacing w:before="20" w:after="20" w:line="276" w:lineRule="auto"/>
              <w:jc w:val="center"/>
            </w:pPr>
            <w:r>
              <w:rPr>
                <w:rFonts w:ascii="Times New Roman" w:hAnsi="Times New Roman" w:eastAsia="宋体"/>
                <w:b w:val="0"/>
                <w:color w:val="1F2937"/>
                <w:sz w:val="20"/>
              </w:rPr>
              <w:t>F = 1.292 (df = 9591)</w:t>
            </w:r>
          </w:p>
        </w:tc>
        <w:tc>
          <w:tcPr>
            <w:tcW w:w="2268" w:type="dxa"/>
            <w:shd w:val="clear" w:color="auto" w:fill="F2F4F8"/>
            <w:vAlign w:val="center"/>
          </w:tcPr>
          <w:p w14:paraId="47F75124">
            <w:pPr>
              <w:spacing w:before="20" w:after="20" w:line="276" w:lineRule="auto"/>
              <w:jc w:val="center"/>
            </w:pPr>
            <w:r>
              <w:rPr>
                <w:rFonts w:ascii="Times New Roman" w:hAnsi="Times New Roman" w:eastAsia="宋体"/>
                <w:b w:val="0"/>
                <w:color w:val="1F2937"/>
                <w:sz w:val="20"/>
              </w:rPr>
              <w:t>χ² = 12891 (df = 9591)</w:t>
            </w:r>
          </w:p>
        </w:tc>
        <w:tc>
          <w:tcPr>
            <w:tcW w:w="1361" w:type="dxa"/>
            <w:shd w:val="clear" w:color="auto" w:fill="F2F4F8"/>
            <w:vAlign w:val="center"/>
          </w:tcPr>
          <w:p w14:paraId="7389EF39">
            <w:pPr>
              <w:spacing w:before="20" w:after="20" w:line="276" w:lineRule="auto"/>
              <w:jc w:val="center"/>
            </w:pPr>
            <w:r>
              <w:rPr>
                <w:rFonts w:ascii="Times New Roman" w:hAnsi="Times New Roman" w:eastAsia="宋体"/>
                <w:b w:val="0"/>
                <w:color w:val="1F2937"/>
                <w:sz w:val="20"/>
              </w:rPr>
              <w:t>完全一致*</w:t>
            </w:r>
          </w:p>
        </w:tc>
      </w:tr>
    </w:tbl>
    <w:p w14:paraId="413E8A66">
      <w:pPr>
        <w:spacing w:before="0" w:after="20" w:line="288" w:lineRule="auto"/>
        <w:jc w:val="left"/>
      </w:pPr>
      <w:r>
        <w:rPr>
          <w:rFonts w:ascii="Times New Roman" w:hAnsi="Times New Roman" w:eastAsia="宋体"/>
          <w:b w:val="0"/>
          <w:color w:val="6B7280"/>
          <w:sz w:val="18"/>
        </w:rPr>
        <w:t>* Box's M：原文报 F 近似、本研究用 biotools::boxM 报卡方近似，为同一检验两种换算；由 χ² 反推 M 再代入 Box 标准 F 近似得 1.292，与原文逐位一致，df = 9591 相同。</w:t>
      </w:r>
    </w:p>
    <w:p w14:paraId="52656F53">
      <w:pPr>
        <w:spacing w:before="0" w:after="20" w:line="288" w:lineRule="auto"/>
        <w:jc w:val="left"/>
      </w:pPr>
      <w:r>
        <w:rPr>
          <w:rFonts w:ascii="Times New Roman" w:hAnsi="Times New Roman" w:eastAsia="宋体"/>
          <w:b w:val="0"/>
          <w:color w:val="6B7280"/>
          <w:sz w:val="18"/>
        </w:rPr>
        <w:t>注：样本 2（n = 108 &lt; 138 变量）协方差矩阵奇异，含样本 2 的 Box's M 无法计算，故仅检验 1 vs 3。</w:t>
      </w:r>
    </w:p>
    <w:p w14:paraId="284E203E">
      <w:pPr>
        <w:spacing w:before="0" w:after="40" w:line="360" w:lineRule="auto"/>
        <w:jc w:val="left"/>
      </w:pPr>
    </w:p>
    <w:p w14:paraId="4C910590">
      <w:pPr>
        <w:spacing w:before="0" w:after="80" w:line="360" w:lineRule="auto"/>
        <w:jc w:val="left"/>
      </w:pPr>
      <w:r>
        <w:rPr>
          <w:rFonts w:ascii="Times New Roman" w:hAnsi="Times New Roman" w:eastAsia="黑体"/>
          <w:b/>
          <w:color w:val="1F2937"/>
          <w:sz w:val="24"/>
        </w:rPr>
        <w:t>3.2.2  使用扩展方法的推断性统计（社区数稳健性分析）</w:t>
      </w:r>
    </w:p>
    <w:p w14:paraId="02406589">
      <w:pPr>
        <w:spacing w:before="0" w:after="120" w:line="360" w:lineRule="auto"/>
        <w:ind w:firstLine="480"/>
        <w:jc w:val="both"/>
      </w:pPr>
      <w:r>
        <w:rPr>
          <w:rFonts w:ascii="Times New Roman" w:hAnsi="Times New Roman" w:eastAsia="宋体"/>
          <w:b w:val="0"/>
          <w:color w:val="1F2937"/>
          <w:sz w:val="24"/>
        </w:rPr>
        <w:t>作为对原文方法的扩展与稳健性检验，本研究另以新版 igraph 原生切分的 8 个社区（不强制切回 10）重跑网络段，并独立重跑全部 MANOVA（借助 Claude Code 完成，与主版互为独立复现）。结果见表 4：8 社区方案模块度（0.722）略高于强切 10 社区（0.712），差异仅约 0.01；与原文逐题对照，差异仅来自两处分面合并（Fantasy 与 Imaginative 合并、Intellectual Interests 与 Non-Traditionalism 合并）；覆盖结论保持稳健（HEXACO 仍最窄、Woo 仍最广）。由于 MANOVA 因变量固定为 138 题、与社区数无关，8 社区分支的 MANOVA 数值与主版逐字一致、推论全部一致，说明推断段结论不依赖社区数。</w:t>
      </w:r>
    </w:p>
    <w:p w14:paraId="2DD1422F">
      <w:pPr>
        <w:spacing w:before="160" w:after="40" w:line="360" w:lineRule="auto"/>
        <w:jc w:val="left"/>
      </w:pPr>
      <w:r>
        <w:rPr>
          <w:rFonts w:ascii="Times New Roman" w:hAnsi="Times New Roman" w:eastAsia="黑体"/>
          <w:b/>
          <w:color w:val="1F2937"/>
          <w:sz w:val="21"/>
        </w:rPr>
        <w:t>表 4  扩展方法（8 社区原生分支）结果概要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381"/>
        <w:gridCol w:w="2268"/>
        <w:gridCol w:w="1814"/>
      </w:tblGrid>
      <w:tr w14:paraId="2502C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1E2761"/>
            <w:vAlign w:val="center"/>
          </w:tcPr>
          <w:p w14:paraId="512D24DC">
            <w:pPr>
              <w:spacing w:before="20" w:after="20" w:line="276" w:lineRule="auto"/>
              <w:jc w:val="left"/>
            </w:pPr>
            <w:r>
              <w:rPr>
                <w:rFonts w:ascii="Times New Roman" w:hAnsi="Times New Roman" w:eastAsia="宋体"/>
                <w:b/>
                <w:color w:val="FFFFFF"/>
                <w:sz w:val="19"/>
              </w:rPr>
              <w:t>考察项</w:t>
            </w:r>
          </w:p>
        </w:tc>
        <w:tc>
          <w:tcPr>
            <w:tcW w:w="2381" w:type="dxa"/>
            <w:shd w:val="clear" w:color="auto" w:fill="1E2761"/>
            <w:vAlign w:val="center"/>
          </w:tcPr>
          <w:p w14:paraId="68BB17C2">
            <w:pPr>
              <w:spacing w:before="20" w:after="20" w:line="276" w:lineRule="auto"/>
              <w:jc w:val="center"/>
            </w:pPr>
            <w:r>
              <w:rPr>
                <w:rFonts w:ascii="Times New Roman" w:hAnsi="Times New Roman" w:eastAsia="宋体"/>
                <w:b/>
                <w:color w:val="FFFFFF"/>
                <w:sz w:val="19"/>
              </w:rPr>
              <w:t>主版（强切 10 社区）</w:t>
            </w:r>
          </w:p>
        </w:tc>
        <w:tc>
          <w:tcPr>
            <w:tcW w:w="2268" w:type="dxa"/>
            <w:shd w:val="clear" w:color="auto" w:fill="1E2761"/>
            <w:vAlign w:val="center"/>
          </w:tcPr>
          <w:p w14:paraId="39364B74">
            <w:pPr>
              <w:spacing w:before="20" w:after="20" w:line="276" w:lineRule="auto"/>
              <w:jc w:val="center"/>
            </w:pPr>
            <w:r>
              <w:rPr>
                <w:rFonts w:ascii="Times New Roman" w:hAnsi="Times New Roman" w:eastAsia="宋体"/>
                <w:b/>
                <w:color w:val="FFFFFF"/>
                <w:sz w:val="19"/>
              </w:rPr>
              <w:t>扩展（原生 8 社区）</w:t>
            </w:r>
          </w:p>
        </w:tc>
        <w:tc>
          <w:tcPr>
            <w:tcW w:w="1814" w:type="dxa"/>
            <w:shd w:val="clear" w:color="auto" w:fill="1E2761"/>
            <w:vAlign w:val="center"/>
          </w:tcPr>
          <w:p w14:paraId="167EA48F">
            <w:pPr>
              <w:spacing w:before="20" w:after="20" w:line="276" w:lineRule="auto"/>
              <w:jc w:val="center"/>
            </w:pPr>
            <w:r>
              <w:rPr>
                <w:rFonts w:ascii="Times New Roman" w:hAnsi="Times New Roman" w:eastAsia="宋体"/>
                <w:b/>
                <w:color w:val="FFFFFF"/>
                <w:sz w:val="19"/>
              </w:rPr>
              <w:t>推论一致性</w:t>
            </w:r>
          </w:p>
        </w:tc>
      </w:tr>
      <w:tr w14:paraId="60A3F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544BC52E">
            <w:pPr>
              <w:spacing w:before="20" w:after="20" w:line="276" w:lineRule="auto"/>
              <w:jc w:val="left"/>
            </w:pPr>
            <w:r>
              <w:rPr>
                <w:rFonts w:ascii="Times New Roman" w:hAnsi="Times New Roman" w:eastAsia="宋体"/>
                <w:b w:val="0"/>
                <w:color w:val="1F2937"/>
                <w:sz w:val="19"/>
              </w:rPr>
              <w:t>社区数 / 模块度</w:t>
            </w:r>
          </w:p>
        </w:tc>
        <w:tc>
          <w:tcPr>
            <w:tcW w:w="2381" w:type="dxa"/>
            <w:vAlign w:val="center"/>
          </w:tcPr>
          <w:p w14:paraId="6BD1C76D">
            <w:pPr>
              <w:spacing w:before="20" w:after="20" w:line="276" w:lineRule="auto"/>
              <w:jc w:val="center"/>
            </w:pPr>
            <w:r>
              <w:rPr>
                <w:rFonts w:ascii="Times New Roman" w:hAnsi="Times New Roman" w:eastAsia="宋体"/>
                <w:b w:val="0"/>
                <w:color w:val="1F2937"/>
                <w:sz w:val="19"/>
              </w:rPr>
              <w:t>10 / 0.712</w:t>
            </w:r>
          </w:p>
        </w:tc>
        <w:tc>
          <w:tcPr>
            <w:tcW w:w="2268" w:type="dxa"/>
            <w:vAlign w:val="center"/>
          </w:tcPr>
          <w:p w14:paraId="75D493D7">
            <w:pPr>
              <w:spacing w:before="20" w:after="20" w:line="276" w:lineRule="auto"/>
              <w:jc w:val="center"/>
            </w:pPr>
            <w:r>
              <w:rPr>
                <w:rFonts w:ascii="Times New Roman" w:hAnsi="Times New Roman" w:eastAsia="宋体"/>
                <w:b w:val="0"/>
                <w:color w:val="1F2937"/>
                <w:sz w:val="19"/>
              </w:rPr>
              <w:t>8 / 0.722</w:t>
            </w:r>
          </w:p>
        </w:tc>
        <w:tc>
          <w:tcPr>
            <w:tcW w:w="1814" w:type="dxa"/>
            <w:vAlign w:val="center"/>
          </w:tcPr>
          <w:p w14:paraId="3A14951E">
            <w:pPr>
              <w:spacing w:before="20" w:after="20" w:line="276" w:lineRule="auto"/>
              <w:jc w:val="center"/>
            </w:pPr>
            <w:r>
              <w:rPr>
                <w:rFonts w:ascii="Times New Roman" w:hAnsi="Times New Roman" w:eastAsia="宋体"/>
                <w:b w:val="0"/>
                <w:color w:val="1F2937"/>
                <w:sz w:val="19"/>
              </w:rPr>
              <w:t>—（结构性差异）</w:t>
            </w:r>
          </w:p>
        </w:tc>
      </w:tr>
      <w:tr w14:paraId="106DA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2F4F8"/>
            <w:vAlign w:val="center"/>
          </w:tcPr>
          <w:p w14:paraId="1E5DD924">
            <w:pPr>
              <w:spacing w:before="20" w:after="20" w:line="276" w:lineRule="auto"/>
              <w:jc w:val="left"/>
            </w:pPr>
            <w:r>
              <w:rPr>
                <w:rFonts w:ascii="Times New Roman" w:hAnsi="Times New Roman" w:eastAsia="宋体"/>
                <w:b w:val="0"/>
                <w:color w:val="1F2937"/>
                <w:sz w:val="19"/>
              </w:rPr>
              <w:t>分面结构</w:t>
            </w:r>
          </w:p>
        </w:tc>
        <w:tc>
          <w:tcPr>
            <w:tcW w:w="2381" w:type="dxa"/>
            <w:shd w:val="clear" w:color="auto" w:fill="F2F4F8"/>
            <w:vAlign w:val="center"/>
          </w:tcPr>
          <w:p w14:paraId="092C4C0F">
            <w:pPr>
              <w:spacing w:before="20" w:after="20" w:line="276" w:lineRule="auto"/>
              <w:jc w:val="center"/>
            </w:pPr>
            <w:r>
              <w:rPr>
                <w:rFonts w:ascii="Times New Roman" w:hAnsi="Times New Roman" w:eastAsia="宋体"/>
                <w:b w:val="0"/>
                <w:color w:val="1F2937"/>
                <w:sz w:val="19"/>
              </w:rPr>
              <w:t>10 分面一对一还原原文</w:t>
            </w:r>
          </w:p>
        </w:tc>
        <w:tc>
          <w:tcPr>
            <w:tcW w:w="2268" w:type="dxa"/>
            <w:shd w:val="clear" w:color="auto" w:fill="F2F4F8"/>
            <w:vAlign w:val="center"/>
          </w:tcPr>
          <w:p w14:paraId="6DCB8D62">
            <w:pPr>
              <w:spacing w:before="20" w:after="20" w:line="276" w:lineRule="auto"/>
              <w:jc w:val="center"/>
            </w:pPr>
            <w:r>
              <w:rPr>
                <w:rFonts w:ascii="Times New Roman" w:hAnsi="Times New Roman" w:eastAsia="宋体"/>
                <w:b w:val="0"/>
                <w:color w:val="1F2937"/>
                <w:sz w:val="19"/>
              </w:rPr>
              <w:t>两处合并*</w:t>
            </w:r>
          </w:p>
        </w:tc>
        <w:tc>
          <w:tcPr>
            <w:tcW w:w="1814" w:type="dxa"/>
            <w:shd w:val="clear" w:color="auto" w:fill="F2F4F8"/>
            <w:vAlign w:val="center"/>
          </w:tcPr>
          <w:p w14:paraId="67490CEA">
            <w:pPr>
              <w:spacing w:before="20" w:after="20" w:line="276" w:lineRule="auto"/>
              <w:jc w:val="center"/>
            </w:pPr>
            <w:r>
              <w:rPr>
                <w:rFonts w:ascii="Times New Roman" w:hAnsi="Times New Roman" w:eastAsia="宋体"/>
                <w:b w:val="0"/>
                <w:color w:val="1F2937"/>
                <w:sz w:val="19"/>
              </w:rPr>
              <w:t>核心结论稳健</w:t>
            </w:r>
          </w:p>
        </w:tc>
      </w:tr>
      <w:tr w14:paraId="6A52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3BFF8193">
            <w:pPr>
              <w:spacing w:before="20" w:after="20" w:line="276" w:lineRule="auto"/>
              <w:jc w:val="left"/>
            </w:pPr>
            <w:r>
              <w:rPr>
                <w:rFonts w:ascii="Times New Roman" w:hAnsi="Times New Roman" w:eastAsia="宋体"/>
                <w:b w:val="0"/>
                <w:color w:val="1F2937"/>
                <w:sz w:val="19"/>
              </w:rPr>
              <w:t>四套覆盖结论</w:t>
            </w:r>
          </w:p>
        </w:tc>
        <w:tc>
          <w:tcPr>
            <w:tcW w:w="2381" w:type="dxa"/>
            <w:vAlign w:val="center"/>
          </w:tcPr>
          <w:p w14:paraId="17C514A6">
            <w:pPr>
              <w:spacing w:before="20" w:after="20" w:line="276" w:lineRule="auto"/>
              <w:jc w:val="center"/>
            </w:pPr>
            <w:r>
              <w:rPr>
                <w:rFonts w:ascii="Times New Roman" w:hAnsi="Times New Roman" w:eastAsia="宋体"/>
                <w:b w:val="0"/>
                <w:color w:val="1F2937"/>
                <w:sz w:val="19"/>
              </w:rPr>
              <w:t>HEXACO 最窄、Woo 最广</w:t>
            </w:r>
          </w:p>
        </w:tc>
        <w:tc>
          <w:tcPr>
            <w:tcW w:w="2268" w:type="dxa"/>
            <w:vAlign w:val="center"/>
          </w:tcPr>
          <w:p w14:paraId="1E0956EF">
            <w:pPr>
              <w:spacing w:before="20" w:after="20" w:line="276" w:lineRule="auto"/>
              <w:jc w:val="center"/>
            </w:pPr>
            <w:r>
              <w:rPr>
                <w:rFonts w:ascii="Times New Roman" w:hAnsi="Times New Roman" w:eastAsia="宋体"/>
                <w:b w:val="0"/>
                <w:color w:val="1F2937"/>
                <w:sz w:val="19"/>
              </w:rPr>
              <w:t>同左</w:t>
            </w:r>
          </w:p>
        </w:tc>
        <w:tc>
          <w:tcPr>
            <w:tcW w:w="1814" w:type="dxa"/>
            <w:vAlign w:val="center"/>
          </w:tcPr>
          <w:p w14:paraId="2FCCA87A">
            <w:pPr>
              <w:spacing w:before="20" w:after="20" w:line="276" w:lineRule="auto"/>
              <w:jc w:val="center"/>
            </w:pPr>
            <w:r>
              <w:rPr>
                <w:rFonts w:ascii="Times New Roman" w:hAnsi="Times New Roman" w:eastAsia="宋体"/>
                <w:b w:val="0"/>
                <w:color w:val="1F2937"/>
                <w:sz w:val="19"/>
              </w:rPr>
              <w:t>一致</w:t>
            </w:r>
          </w:p>
        </w:tc>
      </w:tr>
      <w:tr w14:paraId="2FE63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2F4F8"/>
            <w:vAlign w:val="center"/>
          </w:tcPr>
          <w:p w14:paraId="6CF6D63D">
            <w:pPr>
              <w:spacing w:before="20" w:after="20" w:line="276" w:lineRule="auto"/>
              <w:jc w:val="left"/>
            </w:pPr>
            <w:r>
              <w:rPr>
                <w:rFonts w:ascii="Times New Roman" w:hAnsi="Times New Roman" w:eastAsia="宋体"/>
                <w:b w:val="0"/>
                <w:color w:val="1F2937"/>
                <w:sz w:val="19"/>
              </w:rPr>
              <w:t>MANOVA + Box's M</w:t>
            </w:r>
          </w:p>
        </w:tc>
        <w:tc>
          <w:tcPr>
            <w:tcW w:w="2381" w:type="dxa"/>
            <w:shd w:val="clear" w:color="auto" w:fill="F2F4F8"/>
            <w:vAlign w:val="center"/>
          </w:tcPr>
          <w:p w14:paraId="77C12E7A">
            <w:pPr>
              <w:spacing w:before="20" w:after="20" w:line="276" w:lineRule="auto"/>
              <w:jc w:val="center"/>
            </w:pPr>
            <w:r>
              <w:rPr>
                <w:rFonts w:ascii="Times New Roman" w:hAnsi="Times New Roman" w:eastAsia="宋体"/>
                <w:b w:val="0"/>
                <w:color w:val="1F2937"/>
                <w:sz w:val="19"/>
              </w:rPr>
              <w:t>见表 3</w:t>
            </w:r>
          </w:p>
        </w:tc>
        <w:tc>
          <w:tcPr>
            <w:tcW w:w="2268" w:type="dxa"/>
            <w:shd w:val="clear" w:color="auto" w:fill="F2F4F8"/>
            <w:vAlign w:val="center"/>
          </w:tcPr>
          <w:p w14:paraId="0D16C69F">
            <w:pPr>
              <w:spacing w:before="20" w:after="20" w:line="276" w:lineRule="auto"/>
              <w:jc w:val="center"/>
            </w:pPr>
            <w:r>
              <w:rPr>
                <w:rFonts w:ascii="Times New Roman" w:hAnsi="Times New Roman" w:eastAsia="宋体"/>
                <w:b w:val="0"/>
                <w:color w:val="1F2937"/>
                <w:sz w:val="19"/>
              </w:rPr>
              <w:t>与主版逐字一致</w:t>
            </w:r>
          </w:p>
        </w:tc>
        <w:tc>
          <w:tcPr>
            <w:tcW w:w="1814" w:type="dxa"/>
            <w:shd w:val="clear" w:color="auto" w:fill="F2F4F8"/>
            <w:vAlign w:val="center"/>
          </w:tcPr>
          <w:p w14:paraId="1823FD03">
            <w:pPr>
              <w:spacing w:before="20" w:after="20" w:line="276" w:lineRule="auto"/>
              <w:jc w:val="center"/>
            </w:pPr>
            <w:r>
              <w:rPr>
                <w:rFonts w:ascii="Times New Roman" w:hAnsi="Times New Roman" w:eastAsia="宋体"/>
                <w:b w:val="0"/>
                <w:color w:val="1F2937"/>
                <w:sz w:val="19"/>
              </w:rPr>
              <w:t>推论一致</w:t>
            </w:r>
          </w:p>
        </w:tc>
      </w:tr>
    </w:tbl>
    <w:p w14:paraId="4861EFB1">
      <w:pPr>
        <w:spacing w:before="0" w:after="20" w:line="288" w:lineRule="auto"/>
        <w:jc w:val="left"/>
      </w:pPr>
      <w:r>
        <w:rPr>
          <w:rFonts w:ascii="Times New Roman" w:hAnsi="Times New Roman" w:eastAsia="宋体"/>
          <w:b w:val="0"/>
          <w:color w:val="6B7280"/>
          <w:sz w:val="18"/>
        </w:rPr>
        <w:t>* 两处合并：Fantasy + Imaginative（同方面）、Intellectual Interests + Non-Traditionalism（跨方面）。</w:t>
      </w:r>
    </w:p>
    <w:p w14:paraId="1A53D1A5">
      <w:pPr>
        <w:spacing w:before="0" w:after="40" w:line="360" w:lineRule="auto"/>
        <w:jc w:val="left"/>
      </w:pPr>
    </w:p>
    <w:p w14:paraId="4D5ECA85">
      <w:pPr>
        <w:spacing w:before="160" w:after="120" w:line="360" w:lineRule="auto"/>
        <w:jc w:val="left"/>
      </w:pPr>
      <w:r>
        <w:rPr>
          <w:rFonts w:ascii="Times New Roman" w:hAnsi="Times New Roman" w:eastAsia="黑体"/>
          <w:b/>
          <w:color w:val="1E2761"/>
          <w:sz w:val="26"/>
        </w:rPr>
        <w:t>3.3  网络结构与概念覆盖的复现（图形 / 结构定性比对）</w:t>
      </w:r>
    </w:p>
    <w:p w14:paraId="1BE8C486">
      <w:pPr>
        <w:spacing w:before="0" w:after="120" w:line="360" w:lineRule="auto"/>
        <w:ind w:firstLine="480"/>
        <w:jc w:val="both"/>
      </w:pPr>
      <w:r>
        <w:rPr>
          <w:rFonts w:ascii="Times New Roman" w:hAnsi="Times New Roman" w:eastAsia="宋体"/>
          <w:b w:val="0"/>
          <w:color w:val="1F2937"/>
          <w:sz w:val="24"/>
        </w:rPr>
        <w:t>网络结构与概念覆盖部分产出的是结构与图形而非含 p 值的统计量，故以图形与结构的定性比对呈现、不计算百分误差。复现结果与原文高度一致：整体网络图（Figure 1，138 节点、4 种形状区分四套量表、10 社区配色）与四套量表分图（Figure 2、SI 3–6）均成功复现。逐题与补充材料 SI 2 对照，社区归属一致率为 128/138 = 92.8%，10 个网络分面与原文一对一全部还原（其中 6 个分面纯度 100%），仅 10 道处于社区边界的题目（多为反向计分或外围题）归属微调。概念覆盖数与原文逐项吻合：BFAS 覆盖 7 个、HEXACO 4 个、NEO 9 个（唯缺 Self-Assessed Intelligence）、Woo 9 个（唯缺 Fantasy）。需说明：walktrap 给社区分配的编号是任意的，本研究依据 SI 2 逐题核对确定正确的“编号—分面名”映射，未直接套用原脚本按数字硬贴的命名（否则会贴错）。</w:t>
      </w:r>
    </w:p>
    <w:p w14:paraId="117EAAC4">
      <w:pPr>
        <w:spacing w:before="160" w:after="120" w:line="360" w:lineRule="auto"/>
        <w:jc w:val="left"/>
      </w:pPr>
      <w:r>
        <w:rPr>
          <w:rFonts w:ascii="Times New Roman" w:hAnsi="Times New Roman" w:eastAsia="黑体"/>
          <w:b/>
          <w:color w:val="1E2761"/>
          <w:sz w:val="26"/>
        </w:rPr>
        <w:t>3.4  对原文计算可复现性的评估</w:t>
      </w:r>
    </w:p>
    <w:p w14:paraId="5879D116">
      <w:pPr>
        <w:spacing w:before="0" w:after="120" w:line="360" w:lineRule="auto"/>
        <w:ind w:firstLine="480"/>
        <w:jc w:val="both"/>
      </w:pPr>
      <w:r>
        <w:rPr>
          <w:rFonts w:ascii="Times New Roman" w:hAnsi="Times New Roman" w:eastAsia="宋体"/>
          <w:b w:val="0"/>
          <w:color w:val="1F2937"/>
          <w:sz w:val="24"/>
        </w:rPr>
        <w:t>对采用原文方法的全部推断性结果进行配对比较与评级，结果与推论的评估分别见表 5 与表 6。</w:t>
      </w:r>
    </w:p>
    <w:p w14:paraId="28BFFA93">
      <w:pPr>
        <w:spacing w:before="160" w:after="40" w:line="360" w:lineRule="auto"/>
        <w:jc w:val="left"/>
      </w:pPr>
      <w:r>
        <w:rPr>
          <w:rFonts w:ascii="Times New Roman" w:hAnsi="Times New Roman" w:eastAsia="黑体"/>
          <w:b/>
          <w:color w:val="1F2937"/>
          <w:sz w:val="21"/>
        </w:rPr>
        <w:t>表 5  结果的计算可复现性的评估表（原文献方法）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1984"/>
        <w:gridCol w:w="1984"/>
      </w:tblGrid>
      <w:tr w14:paraId="59DDD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1E2761"/>
            <w:vAlign w:val="center"/>
          </w:tcPr>
          <w:p w14:paraId="5CA7EC0E">
            <w:pPr>
              <w:spacing w:before="20" w:after="20" w:line="276" w:lineRule="auto"/>
              <w:jc w:val="left"/>
            </w:pPr>
            <w:r>
              <w:rPr>
                <w:rFonts w:ascii="Times New Roman" w:hAnsi="Times New Roman" w:eastAsia="宋体"/>
                <w:b/>
                <w:color w:val="FFFFFF"/>
                <w:sz w:val="20"/>
              </w:rPr>
              <w:t>结果的可复现性</w:t>
            </w:r>
          </w:p>
        </w:tc>
        <w:tc>
          <w:tcPr>
            <w:tcW w:w="1984" w:type="dxa"/>
            <w:shd w:val="clear" w:color="auto" w:fill="1E2761"/>
            <w:vAlign w:val="center"/>
          </w:tcPr>
          <w:p w14:paraId="0ADF3931">
            <w:pPr>
              <w:spacing w:before="20" w:after="20" w:line="276" w:lineRule="auto"/>
              <w:jc w:val="center"/>
            </w:pPr>
            <w:r>
              <w:rPr>
                <w:rFonts w:ascii="Times New Roman" w:hAnsi="Times New Roman" w:eastAsia="宋体"/>
                <w:b/>
                <w:color w:val="FFFFFF"/>
                <w:sz w:val="20"/>
              </w:rPr>
              <w:t>数量 N</w:t>
            </w:r>
          </w:p>
        </w:tc>
        <w:tc>
          <w:tcPr>
            <w:tcW w:w="1984" w:type="dxa"/>
            <w:shd w:val="clear" w:color="auto" w:fill="1E2761"/>
            <w:vAlign w:val="center"/>
          </w:tcPr>
          <w:p w14:paraId="3D49B5A6">
            <w:pPr>
              <w:spacing w:before="20" w:after="20" w:line="276" w:lineRule="auto"/>
              <w:jc w:val="center"/>
            </w:pPr>
            <w:r>
              <w:rPr>
                <w:rFonts w:ascii="Times New Roman" w:hAnsi="Times New Roman" w:eastAsia="宋体"/>
                <w:b/>
                <w:color w:val="FFFFFF"/>
                <w:sz w:val="20"/>
              </w:rPr>
              <w:t>占比 %</w:t>
            </w:r>
          </w:p>
        </w:tc>
      </w:tr>
      <w:tr w14:paraId="29BAB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vAlign w:val="center"/>
          </w:tcPr>
          <w:p w14:paraId="55D43BFF">
            <w:pPr>
              <w:spacing w:before="20" w:after="20" w:line="276" w:lineRule="auto"/>
              <w:jc w:val="left"/>
            </w:pPr>
            <w:r>
              <w:rPr>
                <w:rFonts w:ascii="Times New Roman" w:hAnsi="Times New Roman" w:eastAsia="宋体"/>
                <w:b w:val="0"/>
                <w:color w:val="1F2937"/>
                <w:sz w:val="20"/>
              </w:rPr>
              <w:t>完全一致（δ = 0%）</w:t>
            </w:r>
          </w:p>
        </w:tc>
        <w:tc>
          <w:tcPr>
            <w:tcW w:w="1984" w:type="dxa"/>
            <w:vAlign w:val="center"/>
          </w:tcPr>
          <w:p w14:paraId="1B05DAFE">
            <w:pPr>
              <w:spacing w:before="20" w:after="20" w:line="276" w:lineRule="auto"/>
              <w:jc w:val="center"/>
            </w:pPr>
            <w:r>
              <w:rPr>
                <w:rFonts w:ascii="Times New Roman" w:hAnsi="Times New Roman" w:eastAsia="宋体"/>
                <w:b w:val="0"/>
                <w:color w:val="1F2937"/>
                <w:sz w:val="20"/>
              </w:rPr>
              <w:t>14</w:t>
            </w:r>
          </w:p>
        </w:tc>
        <w:tc>
          <w:tcPr>
            <w:tcW w:w="1984" w:type="dxa"/>
            <w:vAlign w:val="center"/>
          </w:tcPr>
          <w:p w14:paraId="26076697">
            <w:pPr>
              <w:spacing w:before="20" w:after="20" w:line="276" w:lineRule="auto"/>
              <w:jc w:val="center"/>
            </w:pPr>
            <w:r>
              <w:rPr>
                <w:rFonts w:ascii="Times New Roman" w:hAnsi="Times New Roman" w:eastAsia="宋体"/>
                <w:b w:val="0"/>
                <w:color w:val="1F2937"/>
                <w:sz w:val="20"/>
              </w:rPr>
              <w:t>100%</w:t>
            </w:r>
          </w:p>
        </w:tc>
      </w:tr>
      <w:tr w14:paraId="398B5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F2F4F8"/>
            <w:vAlign w:val="center"/>
          </w:tcPr>
          <w:p w14:paraId="4A436BE5">
            <w:pPr>
              <w:spacing w:before="20" w:after="20" w:line="276" w:lineRule="auto"/>
              <w:jc w:val="left"/>
            </w:pPr>
            <w:r>
              <w:rPr>
                <w:rFonts w:ascii="Times New Roman" w:hAnsi="Times New Roman" w:eastAsia="宋体"/>
                <w:b w:val="0"/>
                <w:color w:val="1F2937"/>
                <w:sz w:val="20"/>
              </w:rPr>
              <w:t>偏差较小（0% &lt; δ &lt; 10%）</w:t>
            </w:r>
          </w:p>
        </w:tc>
        <w:tc>
          <w:tcPr>
            <w:tcW w:w="1984" w:type="dxa"/>
            <w:shd w:val="clear" w:color="auto" w:fill="F2F4F8"/>
            <w:vAlign w:val="center"/>
          </w:tcPr>
          <w:p w14:paraId="12E0ABE6">
            <w:pPr>
              <w:spacing w:before="20" w:after="20" w:line="276" w:lineRule="auto"/>
              <w:jc w:val="center"/>
            </w:pPr>
            <w:r>
              <w:rPr>
                <w:rFonts w:ascii="Times New Roman" w:hAnsi="Times New Roman" w:eastAsia="宋体"/>
                <w:b w:val="0"/>
                <w:color w:val="1F2937"/>
                <w:sz w:val="20"/>
              </w:rPr>
              <w:t>0</w:t>
            </w:r>
          </w:p>
        </w:tc>
        <w:tc>
          <w:tcPr>
            <w:tcW w:w="1984" w:type="dxa"/>
            <w:shd w:val="clear" w:color="auto" w:fill="F2F4F8"/>
            <w:vAlign w:val="center"/>
          </w:tcPr>
          <w:p w14:paraId="6C4DA9DD">
            <w:pPr>
              <w:spacing w:before="20" w:after="20" w:line="276" w:lineRule="auto"/>
              <w:jc w:val="center"/>
            </w:pPr>
            <w:r>
              <w:rPr>
                <w:rFonts w:ascii="Times New Roman" w:hAnsi="Times New Roman" w:eastAsia="宋体"/>
                <w:b w:val="0"/>
                <w:color w:val="1F2937"/>
                <w:sz w:val="20"/>
              </w:rPr>
              <w:t>0%</w:t>
            </w:r>
          </w:p>
        </w:tc>
      </w:tr>
      <w:tr w14:paraId="334A7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vAlign w:val="center"/>
          </w:tcPr>
          <w:p w14:paraId="784233CB">
            <w:pPr>
              <w:spacing w:before="20" w:after="20" w:line="276" w:lineRule="auto"/>
              <w:jc w:val="left"/>
            </w:pPr>
            <w:r>
              <w:rPr>
                <w:rFonts w:ascii="Times New Roman" w:hAnsi="Times New Roman" w:eastAsia="宋体"/>
                <w:b w:val="0"/>
                <w:color w:val="1F2937"/>
                <w:sz w:val="20"/>
              </w:rPr>
              <w:t>偏差较大（δ ≥ 10%）</w:t>
            </w:r>
          </w:p>
        </w:tc>
        <w:tc>
          <w:tcPr>
            <w:tcW w:w="1984" w:type="dxa"/>
            <w:vAlign w:val="center"/>
          </w:tcPr>
          <w:p w14:paraId="0A121314">
            <w:pPr>
              <w:spacing w:before="20" w:after="20" w:line="276" w:lineRule="auto"/>
              <w:jc w:val="center"/>
            </w:pPr>
            <w:r>
              <w:rPr>
                <w:rFonts w:ascii="Times New Roman" w:hAnsi="Times New Roman" w:eastAsia="宋体"/>
                <w:b w:val="0"/>
                <w:color w:val="1F2937"/>
                <w:sz w:val="20"/>
              </w:rPr>
              <w:t>0</w:t>
            </w:r>
          </w:p>
        </w:tc>
        <w:tc>
          <w:tcPr>
            <w:tcW w:w="1984" w:type="dxa"/>
            <w:vAlign w:val="center"/>
          </w:tcPr>
          <w:p w14:paraId="783CD323">
            <w:pPr>
              <w:spacing w:before="20" w:after="20" w:line="276" w:lineRule="auto"/>
              <w:jc w:val="center"/>
            </w:pPr>
            <w:r>
              <w:rPr>
                <w:rFonts w:ascii="Times New Roman" w:hAnsi="Times New Roman" w:eastAsia="宋体"/>
                <w:b w:val="0"/>
                <w:color w:val="1F2937"/>
                <w:sz w:val="20"/>
              </w:rPr>
              <w:t>0%</w:t>
            </w:r>
          </w:p>
        </w:tc>
      </w:tr>
      <w:tr w14:paraId="0F34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F2F4F8"/>
            <w:vAlign w:val="center"/>
          </w:tcPr>
          <w:p w14:paraId="431A6D3D">
            <w:pPr>
              <w:spacing w:before="20" w:after="20" w:line="276" w:lineRule="auto"/>
              <w:jc w:val="left"/>
            </w:pPr>
            <w:r>
              <w:rPr>
                <w:rFonts w:ascii="Times New Roman" w:hAnsi="Times New Roman" w:eastAsia="宋体"/>
                <w:b w:val="0"/>
                <w:color w:val="1F2937"/>
                <w:sz w:val="20"/>
              </w:rPr>
              <w:t>因舍入导致的偏差</w:t>
            </w:r>
          </w:p>
        </w:tc>
        <w:tc>
          <w:tcPr>
            <w:tcW w:w="1984" w:type="dxa"/>
            <w:shd w:val="clear" w:color="auto" w:fill="F2F4F8"/>
            <w:vAlign w:val="center"/>
          </w:tcPr>
          <w:p w14:paraId="4F45E6B7">
            <w:pPr>
              <w:spacing w:before="20" w:after="20" w:line="276" w:lineRule="auto"/>
              <w:jc w:val="center"/>
            </w:pPr>
            <w:r>
              <w:rPr>
                <w:rFonts w:ascii="Times New Roman" w:hAnsi="Times New Roman" w:eastAsia="宋体"/>
                <w:b w:val="0"/>
                <w:color w:val="1F2937"/>
                <w:sz w:val="20"/>
              </w:rPr>
              <w:t>0</w:t>
            </w:r>
          </w:p>
        </w:tc>
        <w:tc>
          <w:tcPr>
            <w:tcW w:w="1984" w:type="dxa"/>
            <w:shd w:val="clear" w:color="auto" w:fill="F2F4F8"/>
            <w:vAlign w:val="center"/>
          </w:tcPr>
          <w:p w14:paraId="3EF7BCC4">
            <w:pPr>
              <w:spacing w:before="20" w:after="20" w:line="276" w:lineRule="auto"/>
              <w:jc w:val="center"/>
            </w:pPr>
            <w:r>
              <w:rPr>
                <w:rFonts w:ascii="Times New Roman" w:hAnsi="Times New Roman" w:eastAsia="宋体"/>
                <w:b w:val="0"/>
                <w:color w:val="1F2937"/>
                <w:sz w:val="20"/>
              </w:rPr>
              <w:t>0%</w:t>
            </w:r>
          </w:p>
        </w:tc>
      </w:tr>
      <w:tr w14:paraId="4C02F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vAlign w:val="center"/>
          </w:tcPr>
          <w:p w14:paraId="11A19C73">
            <w:pPr>
              <w:spacing w:before="20" w:after="20" w:line="276" w:lineRule="auto"/>
              <w:jc w:val="left"/>
            </w:pPr>
            <w:r>
              <w:rPr>
                <w:rFonts w:ascii="Times New Roman" w:hAnsi="Times New Roman" w:eastAsia="宋体"/>
                <w:b w:val="0"/>
                <w:color w:val="1F2937"/>
                <w:sz w:val="20"/>
              </w:rPr>
              <w:t>无法进行可重复检验</w:t>
            </w:r>
          </w:p>
        </w:tc>
        <w:tc>
          <w:tcPr>
            <w:tcW w:w="1984" w:type="dxa"/>
            <w:vAlign w:val="center"/>
          </w:tcPr>
          <w:p w14:paraId="12822A1F">
            <w:pPr>
              <w:spacing w:before="20" w:after="20" w:line="276" w:lineRule="auto"/>
              <w:jc w:val="center"/>
            </w:pPr>
            <w:r>
              <w:rPr>
                <w:rFonts w:ascii="Times New Roman" w:hAnsi="Times New Roman" w:eastAsia="宋体"/>
                <w:b w:val="0"/>
                <w:color w:val="1F2937"/>
                <w:sz w:val="20"/>
              </w:rPr>
              <w:t>0</w:t>
            </w:r>
          </w:p>
        </w:tc>
        <w:tc>
          <w:tcPr>
            <w:tcW w:w="1984" w:type="dxa"/>
            <w:vAlign w:val="center"/>
          </w:tcPr>
          <w:p w14:paraId="54BD29C8">
            <w:pPr>
              <w:spacing w:before="20" w:after="20" w:line="276" w:lineRule="auto"/>
              <w:jc w:val="center"/>
            </w:pPr>
            <w:r>
              <w:rPr>
                <w:rFonts w:ascii="Times New Roman" w:hAnsi="Times New Roman" w:eastAsia="宋体"/>
                <w:b w:val="0"/>
                <w:color w:val="1F2937"/>
                <w:sz w:val="20"/>
              </w:rPr>
              <w:t>0%</w:t>
            </w:r>
          </w:p>
        </w:tc>
      </w:tr>
      <w:tr w14:paraId="7454D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F2F4F8"/>
            <w:vAlign w:val="center"/>
          </w:tcPr>
          <w:p w14:paraId="0E7E3BD5">
            <w:pPr>
              <w:spacing w:before="20" w:after="20" w:line="276" w:lineRule="auto"/>
              <w:jc w:val="left"/>
            </w:pPr>
            <w:r>
              <w:rPr>
                <w:rFonts w:ascii="Times New Roman" w:hAnsi="Times New Roman" w:eastAsia="宋体"/>
                <w:b w:val="0"/>
                <w:color w:val="1F2937"/>
                <w:sz w:val="20"/>
              </w:rPr>
              <w:t>合计</w:t>
            </w:r>
          </w:p>
        </w:tc>
        <w:tc>
          <w:tcPr>
            <w:tcW w:w="1984" w:type="dxa"/>
            <w:shd w:val="clear" w:color="auto" w:fill="F2F4F8"/>
            <w:vAlign w:val="center"/>
          </w:tcPr>
          <w:p w14:paraId="38C8110A">
            <w:pPr>
              <w:spacing w:before="20" w:after="20" w:line="276" w:lineRule="auto"/>
              <w:jc w:val="center"/>
            </w:pPr>
            <w:r>
              <w:rPr>
                <w:rFonts w:ascii="Times New Roman" w:hAnsi="Times New Roman" w:eastAsia="宋体"/>
                <w:b w:val="0"/>
                <w:color w:val="1F2937"/>
                <w:sz w:val="20"/>
              </w:rPr>
              <w:t>14</w:t>
            </w:r>
          </w:p>
        </w:tc>
        <w:tc>
          <w:tcPr>
            <w:tcW w:w="1984" w:type="dxa"/>
            <w:shd w:val="clear" w:color="auto" w:fill="F2F4F8"/>
            <w:vAlign w:val="center"/>
          </w:tcPr>
          <w:p w14:paraId="0E106138">
            <w:pPr>
              <w:spacing w:before="20" w:after="20" w:line="276" w:lineRule="auto"/>
              <w:jc w:val="center"/>
            </w:pPr>
            <w:r>
              <w:rPr>
                <w:rFonts w:ascii="Times New Roman" w:hAnsi="Times New Roman" w:eastAsia="宋体"/>
                <w:b w:val="0"/>
                <w:color w:val="1F2937"/>
                <w:sz w:val="20"/>
              </w:rPr>
              <w:t>100%</w:t>
            </w:r>
          </w:p>
        </w:tc>
      </w:tr>
    </w:tbl>
    <w:p w14:paraId="47173D74">
      <w:pPr>
        <w:spacing w:before="0" w:after="20" w:line="288" w:lineRule="auto"/>
        <w:jc w:val="left"/>
      </w:pPr>
      <w:r>
        <w:rPr>
          <w:rFonts w:ascii="Times New Roman" w:hAnsi="Times New Roman" w:eastAsia="宋体"/>
          <w:b w:val="0"/>
          <w:color w:val="6B7280"/>
          <w:sz w:val="18"/>
        </w:rPr>
        <w:t>注：N = 14 明细——样本量 4（802 / 176 / 108 / 518）；MANOVA 统计量 F 4 + 效应量 Pillai 4（整体 / 1v2 / 1v3 / 2v3）；Box's M 自由度 df 1 + 统计量 1。</w:t>
      </w:r>
    </w:p>
    <w:p w14:paraId="42C4CD67">
      <w:pPr>
        <w:spacing w:before="0" w:after="20" w:line="288" w:lineRule="auto"/>
        <w:jc w:val="left"/>
      </w:pPr>
      <w:r>
        <w:rPr>
          <w:rFonts w:ascii="Times New Roman" w:hAnsi="Times New Roman" w:eastAsia="宋体"/>
          <w:b w:val="0"/>
          <w:color w:val="6B7280"/>
          <w:sz w:val="18"/>
        </w:rPr>
        <w:t>注：原文 Table 3（facet 信度与相关）未纳入复现选取（需 Rasch 建模、超课程范围），不计入本表分母。</w:t>
      </w:r>
    </w:p>
    <w:p w14:paraId="3A4D8AB3">
      <w:pPr>
        <w:spacing w:before="0" w:after="40" w:line="360" w:lineRule="auto"/>
        <w:jc w:val="left"/>
      </w:pPr>
    </w:p>
    <w:p w14:paraId="61F33BB1">
      <w:pPr>
        <w:spacing w:before="160" w:after="40" w:line="360" w:lineRule="auto"/>
        <w:jc w:val="left"/>
      </w:pPr>
      <w:r>
        <w:rPr>
          <w:rFonts w:ascii="Times New Roman" w:hAnsi="Times New Roman" w:eastAsia="黑体"/>
          <w:b/>
          <w:color w:val="1F2937"/>
          <w:sz w:val="21"/>
        </w:rPr>
        <w:t>表 6  推论的一致性的评估表（原分析方法）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1984"/>
        <w:gridCol w:w="1984"/>
      </w:tblGrid>
      <w:tr w14:paraId="3259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1E2761"/>
            <w:vAlign w:val="center"/>
          </w:tcPr>
          <w:p w14:paraId="099A4365">
            <w:pPr>
              <w:spacing w:before="20" w:after="20" w:line="276" w:lineRule="auto"/>
              <w:jc w:val="left"/>
            </w:pPr>
            <w:r>
              <w:rPr>
                <w:rFonts w:ascii="Times New Roman" w:hAnsi="Times New Roman" w:eastAsia="宋体"/>
                <w:b/>
                <w:color w:val="FFFFFF"/>
                <w:sz w:val="20"/>
              </w:rPr>
              <w:t>推论的一致性</w:t>
            </w:r>
          </w:p>
        </w:tc>
        <w:tc>
          <w:tcPr>
            <w:tcW w:w="1984" w:type="dxa"/>
            <w:shd w:val="clear" w:color="auto" w:fill="1E2761"/>
            <w:vAlign w:val="center"/>
          </w:tcPr>
          <w:p w14:paraId="214E35CD">
            <w:pPr>
              <w:spacing w:before="20" w:after="20" w:line="276" w:lineRule="auto"/>
              <w:jc w:val="center"/>
            </w:pPr>
            <w:r>
              <w:rPr>
                <w:rFonts w:ascii="Times New Roman" w:hAnsi="Times New Roman" w:eastAsia="宋体"/>
                <w:b/>
                <w:color w:val="FFFFFF"/>
                <w:sz w:val="20"/>
              </w:rPr>
              <w:t>数量 N</w:t>
            </w:r>
          </w:p>
        </w:tc>
        <w:tc>
          <w:tcPr>
            <w:tcW w:w="1984" w:type="dxa"/>
            <w:shd w:val="clear" w:color="auto" w:fill="1E2761"/>
            <w:vAlign w:val="center"/>
          </w:tcPr>
          <w:p w14:paraId="685EC2A5">
            <w:pPr>
              <w:spacing w:before="20" w:after="20" w:line="276" w:lineRule="auto"/>
              <w:jc w:val="center"/>
            </w:pPr>
            <w:r>
              <w:rPr>
                <w:rFonts w:ascii="Times New Roman" w:hAnsi="Times New Roman" w:eastAsia="宋体"/>
                <w:b/>
                <w:color w:val="FFFFFF"/>
                <w:sz w:val="20"/>
              </w:rPr>
              <w:t>占比 %</w:t>
            </w:r>
          </w:p>
        </w:tc>
      </w:tr>
      <w:tr w14:paraId="1D76F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vAlign w:val="center"/>
          </w:tcPr>
          <w:p w14:paraId="39F737DC">
            <w:pPr>
              <w:spacing w:before="20" w:after="20" w:line="276" w:lineRule="auto"/>
              <w:jc w:val="left"/>
            </w:pPr>
            <w:r>
              <w:rPr>
                <w:rFonts w:ascii="Times New Roman" w:hAnsi="Times New Roman" w:eastAsia="宋体"/>
                <w:b w:val="0"/>
                <w:color w:val="1F2937"/>
                <w:sz w:val="20"/>
              </w:rPr>
              <w:t>一致</w:t>
            </w:r>
          </w:p>
        </w:tc>
        <w:tc>
          <w:tcPr>
            <w:tcW w:w="1984" w:type="dxa"/>
            <w:vAlign w:val="center"/>
          </w:tcPr>
          <w:p w14:paraId="742D563C">
            <w:pPr>
              <w:spacing w:before="20" w:after="20" w:line="276" w:lineRule="auto"/>
              <w:jc w:val="center"/>
            </w:pPr>
            <w:r>
              <w:rPr>
                <w:rFonts w:ascii="Times New Roman" w:hAnsi="Times New Roman" w:eastAsia="宋体"/>
                <w:b w:val="0"/>
                <w:color w:val="1F2937"/>
                <w:sz w:val="20"/>
              </w:rPr>
              <w:t>5</w:t>
            </w:r>
          </w:p>
        </w:tc>
        <w:tc>
          <w:tcPr>
            <w:tcW w:w="1984" w:type="dxa"/>
            <w:vAlign w:val="center"/>
          </w:tcPr>
          <w:p w14:paraId="5CB6959C">
            <w:pPr>
              <w:spacing w:before="20" w:after="20" w:line="276" w:lineRule="auto"/>
              <w:jc w:val="center"/>
            </w:pPr>
            <w:r>
              <w:rPr>
                <w:rFonts w:ascii="Times New Roman" w:hAnsi="Times New Roman" w:eastAsia="宋体"/>
                <w:b w:val="0"/>
                <w:color w:val="1F2937"/>
                <w:sz w:val="20"/>
              </w:rPr>
              <w:t>100%</w:t>
            </w:r>
          </w:p>
        </w:tc>
      </w:tr>
      <w:tr w14:paraId="6331A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F2F4F8"/>
            <w:vAlign w:val="center"/>
          </w:tcPr>
          <w:p w14:paraId="4C088045">
            <w:pPr>
              <w:spacing w:before="20" w:after="20" w:line="276" w:lineRule="auto"/>
              <w:jc w:val="left"/>
            </w:pPr>
            <w:r>
              <w:rPr>
                <w:rFonts w:ascii="Times New Roman" w:hAnsi="Times New Roman" w:eastAsia="宋体"/>
                <w:b w:val="0"/>
                <w:color w:val="1F2937"/>
                <w:sz w:val="20"/>
              </w:rPr>
              <w:t>不一致</w:t>
            </w:r>
          </w:p>
        </w:tc>
        <w:tc>
          <w:tcPr>
            <w:tcW w:w="1984" w:type="dxa"/>
            <w:shd w:val="clear" w:color="auto" w:fill="F2F4F8"/>
            <w:vAlign w:val="center"/>
          </w:tcPr>
          <w:p w14:paraId="34026858">
            <w:pPr>
              <w:spacing w:before="20" w:after="20" w:line="276" w:lineRule="auto"/>
              <w:jc w:val="center"/>
            </w:pPr>
            <w:r>
              <w:rPr>
                <w:rFonts w:ascii="Times New Roman" w:hAnsi="Times New Roman" w:eastAsia="宋体"/>
                <w:b w:val="0"/>
                <w:color w:val="1F2937"/>
                <w:sz w:val="20"/>
              </w:rPr>
              <w:t>0</w:t>
            </w:r>
          </w:p>
        </w:tc>
        <w:tc>
          <w:tcPr>
            <w:tcW w:w="1984" w:type="dxa"/>
            <w:shd w:val="clear" w:color="auto" w:fill="F2F4F8"/>
            <w:vAlign w:val="center"/>
          </w:tcPr>
          <w:p w14:paraId="47CB8CF1">
            <w:pPr>
              <w:spacing w:before="20" w:after="20" w:line="276" w:lineRule="auto"/>
              <w:jc w:val="center"/>
            </w:pPr>
            <w:r>
              <w:rPr>
                <w:rFonts w:ascii="Times New Roman" w:hAnsi="Times New Roman" w:eastAsia="宋体"/>
                <w:b w:val="0"/>
                <w:color w:val="1F2937"/>
                <w:sz w:val="20"/>
              </w:rPr>
              <w:t>0%</w:t>
            </w:r>
          </w:p>
        </w:tc>
      </w:tr>
      <w:tr w14:paraId="4028E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vAlign w:val="center"/>
          </w:tcPr>
          <w:p w14:paraId="259902B8">
            <w:pPr>
              <w:spacing w:before="20" w:after="20" w:line="276" w:lineRule="auto"/>
              <w:jc w:val="left"/>
            </w:pPr>
            <w:r>
              <w:rPr>
                <w:rFonts w:ascii="Times New Roman" w:hAnsi="Times New Roman" w:eastAsia="宋体"/>
                <w:b w:val="0"/>
                <w:color w:val="1F2937"/>
                <w:sz w:val="20"/>
              </w:rPr>
              <w:t>合计</w:t>
            </w:r>
          </w:p>
        </w:tc>
        <w:tc>
          <w:tcPr>
            <w:tcW w:w="1984" w:type="dxa"/>
            <w:vAlign w:val="center"/>
          </w:tcPr>
          <w:p w14:paraId="0721DB46">
            <w:pPr>
              <w:spacing w:before="20" w:after="20" w:line="276" w:lineRule="auto"/>
              <w:jc w:val="center"/>
            </w:pPr>
            <w:r>
              <w:rPr>
                <w:rFonts w:ascii="Times New Roman" w:hAnsi="Times New Roman" w:eastAsia="宋体"/>
                <w:b w:val="0"/>
                <w:color w:val="1F2937"/>
                <w:sz w:val="20"/>
              </w:rPr>
              <w:t>5</w:t>
            </w:r>
          </w:p>
        </w:tc>
        <w:tc>
          <w:tcPr>
            <w:tcW w:w="1984" w:type="dxa"/>
            <w:vAlign w:val="center"/>
          </w:tcPr>
          <w:p w14:paraId="037AE548">
            <w:pPr>
              <w:spacing w:before="20" w:after="20" w:line="276" w:lineRule="auto"/>
              <w:jc w:val="center"/>
            </w:pPr>
            <w:r>
              <w:rPr>
                <w:rFonts w:ascii="Times New Roman" w:hAnsi="Times New Roman" w:eastAsia="宋体"/>
                <w:b w:val="0"/>
                <w:color w:val="1F2937"/>
                <w:sz w:val="20"/>
              </w:rPr>
              <w:t>100%</w:t>
            </w:r>
          </w:p>
        </w:tc>
      </w:tr>
    </w:tbl>
    <w:p w14:paraId="2FC2245D">
      <w:pPr>
        <w:spacing w:before="0" w:after="20" w:line="288" w:lineRule="auto"/>
        <w:jc w:val="left"/>
      </w:pPr>
      <w:r>
        <w:rPr>
          <w:rFonts w:ascii="Times New Roman" w:hAnsi="Times New Roman" w:eastAsia="宋体"/>
          <w:b w:val="0"/>
          <w:color w:val="6B7280"/>
          <w:sz w:val="18"/>
        </w:rPr>
        <w:t>注：5 个统计推断——三组整体 MANOVA、1v2、1v3、2v3，以及 Box's M，原文与复现 p 值均落在 α = .05 同侧。</w:t>
      </w:r>
    </w:p>
    <w:p w14:paraId="3F27AC27">
      <w:pPr>
        <w:spacing w:before="0" w:after="40" w:line="360" w:lineRule="auto"/>
        <w:jc w:val="left"/>
      </w:pPr>
    </w:p>
    <w:p w14:paraId="4CC2CA98">
      <w:pPr>
        <w:spacing w:before="160" w:after="40" w:line="360" w:lineRule="auto"/>
        <w:jc w:val="left"/>
      </w:pPr>
      <w:r>
        <w:rPr>
          <w:rFonts w:ascii="Times New Roman" w:hAnsi="Times New Roman" w:eastAsia="黑体"/>
          <w:b/>
          <w:color w:val="1F2937"/>
          <w:sz w:val="21"/>
        </w:rPr>
        <w:t>表 7  推论的一致性的评估表（扩展方法 · 8 社区分支）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1984"/>
        <w:gridCol w:w="1984"/>
      </w:tblGrid>
      <w:tr w14:paraId="27C98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1E2761"/>
            <w:vAlign w:val="center"/>
          </w:tcPr>
          <w:p w14:paraId="79E4EDD6">
            <w:pPr>
              <w:spacing w:before="20" w:after="20" w:line="276" w:lineRule="auto"/>
              <w:jc w:val="left"/>
            </w:pPr>
            <w:r>
              <w:rPr>
                <w:rFonts w:ascii="Times New Roman" w:hAnsi="Times New Roman" w:eastAsia="宋体"/>
                <w:b/>
                <w:color w:val="FFFFFF"/>
                <w:sz w:val="20"/>
              </w:rPr>
              <w:t>推论的一致性</w:t>
            </w:r>
          </w:p>
        </w:tc>
        <w:tc>
          <w:tcPr>
            <w:tcW w:w="1984" w:type="dxa"/>
            <w:shd w:val="clear" w:color="auto" w:fill="1E2761"/>
            <w:vAlign w:val="center"/>
          </w:tcPr>
          <w:p w14:paraId="09102A0B">
            <w:pPr>
              <w:spacing w:before="20" w:after="20" w:line="276" w:lineRule="auto"/>
              <w:jc w:val="center"/>
            </w:pPr>
            <w:r>
              <w:rPr>
                <w:rFonts w:ascii="Times New Roman" w:hAnsi="Times New Roman" w:eastAsia="宋体"/>
                <w:b/>
                <w:color w:val="FFFFFF"/>
                <w:sz w:val="20"/>
              </w:rPr>
              <w:t>数量 N</w:t>
            </w:r>
          </w:p>
        </w:tc>
        <w:tc>
          <w:tcPr>
            <w:tcW w:w="1984" w:type="dxa"/>
            <w:shd w:val="clear" w:color="auto" w:fill="1E2761"/>
            <w:vAlign w:val="center"/>
          </w:tcPr>
          <w:p w14:paraId="5E8F0D4E">
            <w:pPr>
              <w:spacing w:before="20" w:after="20" w:line="276" w:lineRule="auto"/>
              <w:jc w:val="center"/>
            </w:pPr>
            <w:r>
              <w:rPr>
                <w:rFonts w:ascii="Times New Roman" w:hAnsi="Times New Roman" w:eastAsia="宋体"/>
                <w:b/>
                <w:color w:val="FFFFFF"/>
                <w:sz w:val="20"/>
              </w:rPr>
              <w:t>占比 %</w:t>
            </w:r>
          </w:p>
        </w:tc>
      </w:tr>
      <w:tr w14:paraId="44A0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vAlign w:val="center"/>
          </w:tcPr>
          <w:p w14:paraId="4DCF9731">
            <w:pPr>
              <w:spacing w:before="20" w:after="20" w:line="276" w:lineRule="auto"/>
              <w:jc w:val="left"/>
            </w:pPr>
            <w:r>
              <w:rPr>
                <w:rFonts w:ascii="Times New Roman" w:hAnsi="Times New Roman" w:eastAsia="宋体"/>
                <w:b w:val="0"/>
                <w:color w:val="1F2937"/>
                <w:sz w:val="20"/>
              </w:rPr>
              <w:t>一致</w:t>
            </w:r>
          </w:p>
        </w:tc>
        <w:tc>
          <w:tcPr>
            <w:tcW w:w="1984" w:type="dxa"/>
            <w:vAlign w:val="center"/>
          </w:tcPr>
          <w:p w14:paraId="1B847492">
            <w:pPr>
              <w:spacing w:before="20" w:after="20" w:line="276" w:lineRule="auto"/>
              <w:jc w:val="center"/>
            </w:pPr>
            <w:r>
              <w:rPr>
                <w:rFonts w:ascii="Times New Roman" w:hAnsi="Times New Roman" w:eastAsia="宋体"/>
                <w:b w:val="0"/>
                <w:color w:val="1F2937"/>
                <w:sz w:val="20"/>
              </w:rPr>
              <w:t>5</w:t>
            </w:r>
          </w:p>
        </w:tc>
        <w:tc>
          <w:tcPr>
            <w:tcW w:w="1984" w:type="dxa"/>
            <w:vAlign w:val="center"/>
          </w:tcPr>
          <w:p w14:paraId="506C83AD">
            <w:pPr>
              <w:spacing w:before="20" w:after="20" w:line="276" w:lineRule="auto"/>
              <w:jc w:val="center"/>
            </w:pPr>
            <w:r>
              <w:rPr>
                <w:rFonts w:ascii="Times New Roman" w:hAnsi="Times New Roman" w:eastAsia="宋体"/>
                <w:b w:val="0"/>
                <w:color w:val="1F2937"/>
                <w:sz w:val="20"/>
              </w:rPr>
              <w:t>100%</w:t>
            </w:r>
          </w:p>
        </w:tc>
      </w:tr>
      <w:tr w14:paraId="0F260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F2F4F8"/>
            <w:vAlign w:val="center"/>
          </w:tcPr>
          <w:p w14:paraId="315DA06B">
            <w:pPr>
              <w:spacing w:before="20" w:after="20" w:line="276" w:lineRule="auto"/>
              <w:jc w:val="left"/>
            </w:pPr>
            <w:r>
              <w:rPr>
                <w:rFonts w:ascii="Times New Roman" w:hAnsi="Times New Roman" w:eastAsia="宋体"/>
                <w:b w:val="0"/>
                <w:color w:val="1F2937"/>
                <w:sz w:val="20"/>
              </w:rPr>
              <w:t>不一致</w:t>
            </w:r>
          </w:p>
        </w:tc>
        <w:tc>
          <w:tcPr>
            <w:tcW w:w="1984" w:type="dxa"/>
            <w:shd w:val="clear" w:color="auto" w:fill="F2F4F8"/>
            <w:vAlign w:val="center"/>
          </w:tcPr>
          <w:p w14:paraId="4B679257">
            <w:pPr>
              <w:spacing w:before="20" w:after="20" w:line="276" w:lineRule="auto"/>
              <w:jc w:val="center"/>
            </w:pPr>
            <w:r>
              <w:rPr>
                <w:rFonts w:ascii="Times New Roman" w:hAnsi="Times New Roman" w:eastAsia="宋体"/>
                <w:b w:val="0"/>
                <w:color w:val="1F2937"/>
                <w:sz w:val="20"/>
              </w:rPr>
              <w:t>0</w:t>
            </w:r>
          </w:p>
        </w:tc>
        <w:tc>
          <w:tcPr>
            <w:tcW w:w="1984" w:type="dxa"/>
            <w:shd w:val="clear" w:color="auto" w:fill="F2F4F8"/>
            <w:vAlign w:val="center"/>
          </w:tcPr>
          <w:p w14:paraId="11E5F18F">
            <w:pPr>
              <w:spacing w:before="20" w:after="20" w:line="276" w:lineRule="auto"/>
              <w:jc w:val="center"/>
            </w:pPr>
            <w:r>
              <w:rPr>
                <w:rFonts w:ascii="Times New Roman" w:hAnsi="Times New Roman" w:eastAsia="宋体"/>
                <w:b w:val="0"/>
                <w:color w:val="1F2937"/>
                <w:sz w:val="20"/>
              </w:rPr>
              <w:t>0%</w:t>
            </w:r>
          </w:p>
        </w:tc>
      </w:tr>
    </w:tbl>
    <w:p w14:paraId="6E81F262">
      <w:pPr>
        <w:spacing w:before="0" w:after="20" w:line="288" w:lineRule="auto"/>
        <w:jc w:val="left"/>
      </w:pPr>
      <w:r>
        <w:rPr>
          <w:rFonts w:ascii="Times New Roman" w:hAnsi="Times New Roman" w:eastAsia="宋体"/>
          <w:b w:val="0"/>
          <w:color w:val="6B7280"/>
          <w:sz w:val="18"/>
        </w:rPr>
        <w:t>注：8 社区分支的 MANOVA / Box's M 与社区数无关，数值与主版逐字一致，5 个推断与原文全部一致。</w:t>
      </w:r>
    </w:p>
    <w:p w14:paraId="0A6A963C">
      <w:pPr>
        <w:spacing w:before="0" w:after="40" w:line="360" w:lineRule="auto"/>
        <w:jc w:val="left"/>
      </w:pPr>
    </w:p>
    <w:p w14:paraId="7687CDC9">
      <w:pPr>
        <w:spacing w:before="280" w:after="160" w:line="360" w:lineRule="auto"/>
        <w:jc w:val="left"/>
      </w:pPr>
      <w:r>
        <w:rPr>
          <w:rFonts w:ascii="Times New Roman" w:hAnsi="Times New Roman" w:eastAsia="黑体"/>
          <w:b/>
          <w:color w:val="1E2761"/>
          <w:sz w:val="30"/>
        </w:rPr>
        <w:t>4  讨论</w:t>
      </w:r>
    </w:p>
    <w:p w14:paraId="039C0671">
      <w:pPr>
        <w:spacing w:before="160" w:after="120" w:line="360" w:lineRule="auto"/>
        <w:jc w:val="left"/>
      </w:pPr>
      <w:r>
        <w:rPr>
          <w:rFonts w:ascii="Times New Roman" w:hAnsi="Times New Roman" w:eastAsia="黑体"/>
          <w:b/>
          <w:color w:val="1E2761"/>
          <w:sz w:val="26"/>
        </w:rPr>
        <w:t>4.1  计算可复现性检验结果分析</w:t>
      </w:r>
    </w:p>
    <w:p w14:paraId="413659A6">
      <w:pPr>
        <w:spacing w:before="0" w:after="120" w:line="360" w:lineRule="auto"/>
        <w:ind w:firstLine="480"/>
        <w:jc w:val="both"/>
      </w:pPr>
      <w:r>
        <w:rPr>
          <w:rFonts w:ascii="Times New Roman" w:hAnsi="Times New Roman" w:eastAsia="宋体"/>
          <w:b w:val="0"/>
          <w:color w:val="1F2937"/>
          <w:sz w:val="24"/>
        </w:rPr>
        <w:t>总体而言，本次复现高度成功：采用原文方法的 14 项结果全部完全一致、5 个统计推断推论全部一致；仅网络社区结构因软件包版本出现可控的 10→8 差异。结合下表对可能影响可复现性的因素进行分析，其中最关键者为软件包版本问题。</w:t>
      </w:r>
    </w:p>
    <w:p w14:paraId="1149467C">
      <w:pPr>
        <w:spacing w:before="160" w:after="40" w:line="360" w:lineRule="auto"/>
        <w:jc w:val="left"/>
      </w:pPr>
      <w:r>
        <w:rPr>
          <w:rFonts w:ascii="Times New Roman" w:hAnsi="Times New Roman" w:eastAsia="黑体"/>
          <w:b/>
          <w:color w:val="1F2937"/>
          <w:sz w:val="21"/>
        </w:rPr>
        <w:t>表 8  计算上（不）可复现的原因分析表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041"/>
        <w:gridCol w:w="4762"/>
      </w:tblGrid>
      <w:tr w14:paraId="3819A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1E2761"/>
            <w:vAlign w:val="center"/>
          </w:tcPr>
          <w:p w14:paraId="5B391CB7">
            <w:pPr>
              <w:spacing w:before="20" w:after="20" w:line="276" w:lineRule="auto"/>
              <w:jc w:val="left"/>
            </w:pPr>
            <w:r>
              <w:rPr>
                <w:rFonts w:ascii="Times New Roman" w:hAnsi="Times New Roman" w:eastAsia="宋体"/>
                <w:b/>
                <w:color w:val="FFFFFF"/>
                <w:sz w:val="18"/>
              </w:rPr>
              <w:t>大类</w:t>
            </w:r>
          </w:p>
        </w:tc>
        <w:tc>
          <w:tcPr>
            <w:tcW w:w="2041" w:type="dxa"/>
            <w:shd w:val="clear" w:color="auto" w:fill="1E2761"/>
            <w:vAlign w:val="center"/>
          </w:tcPr>
          <w:p w14:paraId="6BA21AFE">
            <w:pPr>
              <w:spacing w:before="20" w:after="20" w:line="276" w:lineRule="auto"/>
              <w:jc w:val="center"/>
            </w:pPr>
            <w:r>
              <w:rPr>
                <w:rFonts w:ascii="Times New Roman" w:hAnsi="Times New Roman" w:eastAsia="宋体"/>
                <w:b/>
                <w:color w:val="FFFFFF"/>
                <w:sz w:val="18"/>
              </w:rPr>
              <w:t>具体原因</w:t>
            </w:r>
          </w:p>
        </w:tc>
        <w:tc>
          <w:tcPr>
            <w:tcW w:w="4762" w:type="dxa"/>
            <w:shd w:val="clear" w:color="auto" w:fill="1E2761"/>
            <w:vAlign w:val="center"/>
          </w:tcPr>
          <w:p w14:paraId="6FB3ACCD">
            <w:pPr>
              <w:spacing w:before="20" w:after="20" w:line="276" w:lineRule="auto"/>
              <w:jc w:val="center"/>
            </w:pPr>
            <w:r>
              <w:rPr>
                <w:rFonts w:ascii="Times New Roman" w:hAnsi="Times New Roman" w:eastAsia="宋体"/>
                <w:b/>
                <w:color w:val="FFFFFF"/>
                <w:sz w:val="18"/>
              </w:rPr>
              <w:t>本研究的适用性与说明</w:t>
            </w:r>
          </w:p>
        </w:tc>
      </w:tr>
      <w:tr w14:paraId="0FA1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A4DD043">
            <w:pPr>
              <w:spacing w:before="20" w:after="20" w:line="276" w:lineRule="auto"/>
              <w:jc w:val="left"/>
            </w:pPr>
            <w:r>
              <w:rPr>
                <w:rFonts w:ascii="Times New Roman" w:hAnsi="Times New Roman" w:eastAsia="宋体"/>
                <w:b w:val="0"/>
                <w:color w:val="1F2937"/>
                <w:sz w:val="18"/>
              </w:rPr>
              <w:t>原文献开放性（代码）</w:t>
            </w:r>
          </w:p>
        </w:tc>
        <w:tc>
          <w:tcPr>
            <w:tcW w:w="2041" w:type="dxa"/>
            <w:vAlign w:val="center"/>
          </w:tcPr>
          <w:p w14:paraId="5BEA4074">
            <w:pPr>
              <w:spacing w:before="20" w:after="20" w:line="276" w:lineRule="auto"/>
              <w:jc w:val="center"/>
            </w:pPr>
            <w:r>
              <w:rPr>
                <w:rFonts w:ascii="Times New Roman" w:hAnsi="Times New Roman" w:eastAsia="宋体"/>
                <w:b w:val="0"/>
                <w:color w:val="1F2937"/>
                <w:sz w:val="18"/>
              </w:rPr>
              <w:t>软件包 / 版本问题</w:t>
            </w:r>
          </w:p>
        </w:tc>
        <w:tc>
          <w:tcPr>
            <w:tcW w:w="4762" w:type="dxa"/>
            <w:vAlign w:val="center"/>
          </w:tcPr>
          <w:p w14:paraId="4F29DA62">
            <w:pPr>
              <w:spacing w:before="20" w:after="20" w:line="276" w:lineRule="auto"/>
              <w:jc w:val="center"/>
            </w:pPr>
            <w:r>
              <w:rPr>
                <w:rFonts w:ascii="Times New Roman" w:hAnsi="Times New Roman" w:eastAsia="宋体"/>
                <w:b w:val="0"/>
                <w:color w:val="1F2937"/>
                <w:sz w:val="18"/>
              </w:rPr>
              <w:t>★ 关键差异源：原文用旧版 igraph、本复现用 igraph 2.3.2，walktrap 默认社区数由 10 变 8（模块度 0.722 &gt; 0.712）；用 cut_at(no=10) 强切回 10 后与原文逐一致。为唯一造成结构差异的因素，已定位、可控。</w:t>
            </w:r>
          </w:p>
        </w:tc>
      </w:tr>
      <w:tr w14:paraId="257B9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2F4F8"/>
            <w:vAlign w:val="center"/>
          </w:tcPr>
          <w:p w14:paraId="06643FBA">
            <w:pPr>
              <w:spacing w:before="20" w:after="20" w:line="276" w:lineRule="auto"/>
              <w:jc w:val="left"/>
            </w:pPr>
            <w:r>
              <w:rPr>
                <w:rFonts w:ascii="Times New Roman" w:hAnsi="Times New Roman" w:eastAsia="宋体"/>
                <w:b w:val="0"/>
                <w:color w:val="1F2937"/>
                <w:sz w:val="18"/>
              </w:rPr>
              <w:t>原文献开放性（OSF）</w:t>
            </w:r>
          </w:p>
        </w:tc>
        <w:tc>
          <w:tcPr>
            <w:tcW w:w="2041" w:type="dxa"/>
            <w:shd w:val="clear" w:color="auto" w:fill="F2F4F8"/>
            <w:vAlign w:val="center"/>
          </w:tcPr>
          <w:p w14:paraId="680FDDB5">
            <w:pPr>
              <w:spacing w:before="20" w:after="20" w:line="276" w:lineRule="auto"/>
              <w:jc w:val="center"/>
            </w:pPr>
            <w:r>
              <w:rPr>
                <w:rFonts w:ascii="Times New Roman" w:hAnsi="Times New Roman" w:eastAsia="宋体"/>
                <w:b w:val="0"/>
                <w:color w:val="1F2937"/>
                <w:sz w:val="18"/>
              </w:rPr>
              <w:t>数据与代码不一致</w:t>
            </w:r>
          </w:p>
        </w:tc>
        <w:tc>
          <w:tcPr>
            <w:tcW w:w="4762" w:type="dxa"/>
            <w:shd w:val="clear" w:color="auto" w:fill="F2F4F8"/>
            <w:vAlign w:val="center"/>
          </w:tcPr>
          <w:p w14:paraId="066748BF">
            <w:pPr>
              <w:spacing w:before="20" w:after="20" w:line="276" w:lineRule="auto"/>
              <w:jc w:val="center"/>
            </w:pPr>
            <w:r>
              <w:rPr>
                <w:rFonts w:ascii="Times New Roman" w:hAnsi="Times New Roman" w:eastAsia="宋体"/>
                <w:b w:val="0"/>
                <w:color w:val="1F2937"/>
                <w:sz w:val="18"/>
              </w:rPr>
              <w:t>分析文件缺代码 / SI 所需的分组变量 Group（仅含无关的 DBHTgroup）；用 138 题响应指纹重建 Group = 176/108/518，与 SI 7、Data Cleaning Notes 三方一致。</w:t>
            </w:r>
          </w:p>
        </w:tc>
      </w:tr>
      <w:tr w14:paraId="157A0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8B619DA">
            <w:pPr>
              <w:spacing w:before="20" w:after="20" w:line="276" w:lineRule="auto"/>
              <w:jc w:val="left"/>
            </w:pPr>
            <w:r>
              <w:rPr>
                <w:rFonts w:ascii="Times New Roman" w:hAnsi="Times New Roman" w:eastAsia="宋体"/>
                <w:b w:val="0"/>
                <w:color w:val="1F2937"/>
                <w:sz w:val="18"/>
              </w:rPr>
              <w:t>原文献开放性（OSF）</w:t>
            </w:r>
          </w:p>
        </w:tc>
        <w:tc>
          <w:tcPr>
            <w:tcW w:w="2041" w:type="dxa"/>
            <w:vAlign w:val="center"/>
          </w:tcPr>
          <w:p w14:paraId="04C13E40">
            <w:pPr>
              <w:spacing w:before="20" w:after="20" w:line="276" w:lineRule="auto"/>
              <w:jc w:val="center"/>
            </w:pPr>
            <w:r>
              <w:rPr>
                <w:rFonts w:ascii="Times New Roman" w:hAnsi="Times New Roman" w:eastAsia="宋体"/>
                <w:b w:val="0"/>
                <w:color w:val="1F2937"/>
                <w:sz w:val="18"/>
              </w:rPr>
              <w:t>缺 readme 文档</w:t>
            </w:r>
          </w:p>
        </w:tc>
        <w:tc>
          <w:tcPr>
            <w:tcW w:w="4762" w:type="dxa"/>
            <w:vAlign w:val="center"/>
          </w:tcPr>
          <w:p w14:paraId="7ABD2CFC">
            <w:pPr>
              <w:spacing w:before="20" w:after="20" w:line="276" w:lineRule="auto"/>
              <w:jc w:val="center"/>
            </w:pPr>
            <w:r>
              <w:rPr>
                <w:rFonts w:ascii="Times New Roman" w:hAnsi="Times New Roman" w:eastAsia="宋体"/>
                <w:b w:val="0"/>
                <w:color w:val="1F2937"/>
                <w:sz w:val="18"/>
              </w:rPr>
              <w:t>OSF 未见对数据 / 代码内容进行说明的 readme，增加了理解数据—代码对应关系的成本。</w:t>
            </w:r>
          </w:p>
        </w:tc>
      </w:tr>
      <w:tr w14:paraId="3A0BD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2F4F8"/>
            <w:vAlign w:val="center"/>
          </w:tcPr>
          <w:p w14:paraId="0184C3D0">
            <w:pPr>
              <w:spacing w:before="20" w:after="20" w:line="276" w:lineRule="auto"/>
              <w:jc w:val="left"/>
            </w:pPr>
            <w:r>
              <w:rPr>
                <w:rFonts w:ascii="Times New Roman" w:hAnsi="Times New Roman" w:eastAsia="宋体"/>
                <w:b w:val="0"/>
                <w:color w:val="1F2937"/>
                <w:sz w:val="18"/>
              </w:rPr>
              <w:t>原文献开放性（数据）</w:t>
            </w:r>
          </w:p>
        </w:tc>
        <w:tc>
          <w:tcPr>
            <w:tcW w:w="2041" w:type="dxa"/>
            <w:shd w:val="clear" w:color="auto" w:fill="F2F4F8"/>
            <w:vAlign w:val="center"/>
          </w:tcPr>
          <w:p w14:paraId="7E2F492B">
            <w:pPr>
              <w:spacing w:before="20" w:after="20" w:line="276" w:lineRule="auto"/>
              <w:jc w:val="center"/>
            </w:pPr>
            <w:r>
              <w:rPr>
                <w:rFonts w:ascii="Times New Roman" w:hAnsi="Times New Roman" w:eastAsia="宋体"/>
                <w:b w:val="0"/>
                <w:color w:val="1F2937"/>
                <w:sz w:val="18"/>
              </w:rPr>
              <w:t>未提供原始数据</w:t>
            </w:r>
          </w:p>
        </w:tc>
        <w:tc>
          <w:tcPr>
            <w:tcW w:w="4762" w:type="dxa"/>
            <w:shd w:val="clear" w:color="auto" w:fill="F2F4F8"/>
            <w:vAlign w:val="center"/>
          </w:tcPr>
          <w:p w14:paraId="4CE20E0A">
            <w:pPr>
              <w:spacing w:before="20" w:after="20" w:line="276" w:lineRule="auto"/>
              <w:jc w:val="center"/>
            </w:pPr>
            <w:r>
              <w:rPr>
                <w:rFonts w:ascii="Times New Roman" w:hAnsi="Times New Roman" w:eastAsia="宋体"/>
                <w:b w:val="0"/>
                <w:color w:val="1F2937"/>
                <w:sz w:val="18"/>
              </w:rPr>
              <w:t>仅公开处理后数据，原始清洗在 SPSS 完成；故合规使用处理后数据。</w:t>
            </w:r>
          </w:p>
        </w:tc>
      </w:tr>
      <w:tr w14:paraId="5DAE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6A3602D">
            <w:pPr>
              <w:spacing w:before="20" w:after="20" w:line="276" w:lineRule="auto"/>
              <w:jc w:val="left"/>
            </w:pPr>
            <w:r>
              <w:rPr>
                <w:rFonts w:ascii="Times New Roman" w:hAnsi="Times New Roman" w:eastAsia="宋体"/>
                <w:b w:val="0"/>
                <w:color w:val="1F2937"/>
                <w:sz w:val="18"/>
              </w:rPr>
              <w:t>重复过程</w:t>
            </w:r>
          </w:p>
        </w:tc>
        <w:tc>
          <w:tcPr>
            <w:tcW w:w="2041" w:type="dxa"/>
            <w:vAlign w:val="center"/>
          </w:tcPr>
          <w:p w14:paraId="6CE634E2">
            <w:pPr>
              <w:spacing w:before="20" w:after="20" w:line="276" w:lineRule="auto"/>
              <w:jc w:val="center"/>
            </w:pPr>
            <w:r>
              <w:rPr>
                <w:rFonts w:ascii="Times New Roman" w:hAnsi="Times New Roman" w:eastAsia="宋体"/>
                <w:b w:val="0"/>
                <w:color w:val="1F2937"/>
                <w:sz w:val="18"/>
              </w:rPr>
              <w:t>是否使用同样的包 / 版本</w:t>
            </w:r>
          </w:p>
        </w:tc>
        <w:tc>
          <w:tcPr>
            <w:tcW w:w="4762" w:type="dxa"/>
            <w:vAlign w:val="center"/>
          </w:tcPr>
          <w:p w14:paraId="394B1CA0">
            <w:pPr>
              <w:spacing w:before="20" w:after="20" w:line="276" w:lineRule="auto"/>
              <w:jc w:val="center"/>
            </w:pPr>
            <w:r>
              <w:rPr>
                <w:rFonts w:ascii="Times New Roman" w:hAnsi="Times New Roman" w:eastAsia="宋体"/>
                <w:b w:val="0"/>
                <w:color w:val="1F2937"/>
                <w:sz w:val="18"/>
              </w:rPr>
              <w:t>R 与程序包相同，但 igraph 版本不同（见上）；数据集与分析方法相同，已排除为差异源。</w:t>
            </w:r>
          </w:p>
        </w:tc>
      </w:tr>
      <w:tr w14:paraId="24E26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2F4F8"/>
            <w:vAlign w:val="center"/>
          </w:tcPr>
          <w:p w14:paraId="124A7F2F">
            <w:pPr>
              <w:spacing w:before="20" w:after="20" w:line="276" w:lineRule="auto"/>
              <w:jc w:val="left"/>
            </w:pPr>
            <w:r>
              <w:rPr>
                <w:rFonts w:ascii="Times New Roman" w:hAnsi="Times New Roman" w:eastAsia="宋体"/>
                <w:b w:val="0"/>
                <w:color w:val="1F2937"/>
                <w:sz w:val="18"/>
              </w:rPr>
              <w:t>重复过程（复现者）</w:t>
            </w:r>
          </w:p>
        </w:tc>
        <w:tc>
          <w:tcPr>
            <w:tcW w:w="2041" w:type="dxa"/>
            <w:shd w:val="clear" w:color="auto" w:fill="F2F4F8"/>
            <w:vAlign w:val="center"/>
          </w:tcPr>
          <w:p w14:paraId="1B0C003D">
            <w:pPr>
              <w:spacing w:before="20" w:after="20" w:line="276" w:lineRule="auto"/>
              <w:jc w:val="center"/>
            </w:pPr>
            <w:r>
              <w:rPr>
                <w:rFonts w:ascii="Times New Roman" w:hAnsi="Times New Roman" w:eastAsia="宋体"/>
                <w:b w:val="0"/>
                <w:color w:val="1F2937"/>
                <w:sz w:val="18"/>
              </w:rPr>
              <w:t>R 经验与知识漏洞</w:t>
            </w:r>
          </w:p>
        </w:tc>
        <w:tc>
          <w:tcPr>
            <w:tcW w:w="4762" w:type="dxa"/>
            <w:shd w:val="clear" w:color="auto" w:fill="F2F4F8"/>
            <w:vAlign w:val="center"/>
          </w:tcPr>
          <w:p w14:paraId="49A816BB">
            <w:pPr>
              <w:spacing w:before="20" w:after="20" w:line="276" w:lineRule="auto"/>
              <w:jc w:val="center"/>
            </w:pPr>
            <w:r>
              <w:rPr>
                <w:rFonts w:ascii="Times New Roman" w:hAnsi="Times New Roman" w:eastAsia="宋体"/>
                <w:b w:val="0"/>
                <w:color w:val="1F2937"/>
                <w:sz w:val="18"/>
              </w:rPr>
              <w:t>复现者具备一定 R 经验、基本能读懂原代码；个别操作（如社区编号映射、TMFG 技术细节）借助 AI 与查阅资料理解。</w:t>
            </w:r>
          </w:p>
        </w:tc>
      </w:tr>
      <w:tr w14:paraId="3EBDC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55A8FDC">
            <w:pPr>
              <w:spacing w:before="20" w:after="20" w:line="276" w:lineRule="auto"/>
              <w:jc w:val="left"/>
            </w:pPr>
            <w:r>
              <w:rPr>
                <w:rFonts w:ascii="Times New Roman" w:hAnsi="Times New Roman" w:eastAsia="宋体"/>
                <w:b w:val="0"/>
                <w:color w:val="1F2937"/>
                <w:sz w:val="18"/>
              </w:rPr>
              <w:t>其他（文献年份）</w:t>
            </w:r>
          </w:p>
        </w:tc>
        <w:tc>
          <w:tcPr>
            <w:tcW w:w="2041" w:type="dxa"/>
            <w:vAlign w:val="center"/>
          </w:tcPr>
          <w:p w14:paraId="6D832557">
            <w:pPr>
              <w:spacing w:before="20" w:after="20" w:line="276" w:lineRule="auto"/>
              <w:jc w:val="center"/>
            </w:pPr>
            <w:r>
              <w:rPr>
                <w:rFonts w:ascii="Times New Roman" w:hAnsi="Times New Roman" w:eastAsia="宋体"/>
                <w:b w:val="0"/>
                <w:color w:val="1F2937"/>
                <w:sz w:val="18"/>
              </w:rPr>
              <w:t>是否久远</w:t>
            </w:r>
          </w:p>
        </w:tc>
        <w:tc>
          <w:tcPr>
            <w:tcW w:w="4762" w:type="dxa"/>
            <w:vAlign w:val="center"/>
          </w:tcPr>
          <w:p w14:paraId="23D7CC51">
            <w:pPr>
              <w:spacing w:before="20" w:after="20" w:line="276" w:lineRule="auto"/>
              <w:jc w:val="center"/>
            </w:pPr>
            <w:r>
              <w:rPr>
                <w:rFonts w:ascii="Times New Roman" w:hAnsi="Times New Roman" w:eastAsia="宋体"/>
                <w:b w:val="0"/>
                <w:color w:val="1F2937"/>
                <w:sz w:val="18"/>
              </w:rPr>
              <w:t>2019 年发表，处于开放科学运动之后并提供 OSF 数据与代码，整体利于复现。</w:t>
            </w:r>
          </w:p>
        </w:tc>
      </w:tr>
      <w:tr w14:paraId="5ED3C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2F4F8"/>
            <w:vAlign w:val="center"/>
          </w:tcPr>
          <w:p w14:paraId="1B88558B">
            <w:pPr>
              <w:spacing w:before="20" w:after="20" w:line="276" w:lineRule="auto"/>
              <w:jc w:val="left"/>
            </w:pPr>
            <w:r>
              <w:rPr>
                <w:rFonts w:ascii="Times New Roman" w:hAnsi="Times New Roman" w:eastAsia="宋体"/>
                <w:b w:val="0"/>
                <w:color w:val="1F2937"/>
                <w:sz w:val="18"/>
              </w:rPr>
              <w:t>其他（文献质量）</w:t>
            </w:r>
          </w:p>
        </w:tc>
        <w:tc>
          <w:tcPr>
            <w:tcW w:w="2041" w:type="dxa"/>
            <w:shd w:val="clear" w:color="auto" w:fill="F2F4F8"/>
            <w:vAlign w:val="center"/>
          </w:tcPr>
          <w:p w14:paraId="23DF8427">
            <w:pPr>
              <w:spacing w:before="20" w:after="20" w:line="276" w:lineRule="auto"/>
              <w:jc w:val="center"/>
            </w:pPr>
            <w:r>
              <w:rPr>
                <w:rFonts w:ascii="Times New Roman" w:hAnsi="Times New Roman" w:eastAsia="宋体"/>
                <w:b w:val="0"/>
                <w:color w:val="1F2937"/>
                <w:sz w:val="18"/>
              </w:rPr>
              <w:t>引用 / 支持 / 重复</w:t>
            </w:r>
          </w:p>
        </w:tc>
        <w:tc>
          <w:tcPr>
            <w:tcW w:w="4762" w:type="dxa"/>
            <w:shd w:val="clear" w:color="auto" w:fill="F2F4F8"/>
            <w:vAlign w:val="center"/>
          </w:tcPr>
          <w:p w14:paraId="3FCF7D38">
            <w:pPr>
              <w:spacing w:before="20" w:after="20" w:line="276" w:lineRule="auto"/>
              <w:jc w:val="center"/>
            </w:pPr>
            <w:r>
              <w:rPr>
                <w:rFonts w:ascii="Times New Roman" w:hAnsi="Times New Roman" w:eastAsia="宋体"/>
                <w:b w:val="0"/>
                <w:color w:val="1F2937"/>
                <w:sz w:val="18"/>
              </w:rPr>
              <w:t>Google Scholar 引用约 239 次；开放性多维结构有大量文献支持；未见公开的独立计算可复现性复现记录。</w:t>
            </w:r>
          </w:p>
        </w:tc>
      </w:tr>
    </w:tbl>
    <w:p w14:paraId="1FA4B1DD">
      <w:pPr>
        <w:spacing w:before="0" w:after="40" w:line="360" w:lineRule="auto"/>
        <w:jc w:val="left"/>
      </w:pPr>
    </w:p>
    <w:p w14:paraId="4FE78CAB">
      <w:pPr>
        <w:spacing w:before="160" w:after="120" w:line="360" w:lineRule="auto"/>
        <w:jc w:val="left"/>
      </w:pPr>
      <w:r>
        <w:rPr>
          <w:rFonts w:ascii="Times New Roman" w:hAnsi="Times New Roman" w:eastAsia="黑体"/>
          <w:b/>
          <w:color w:val="1E2761"/>
          <w:sz w:val="26"/>
        </w:rPr>
        <w:t>4.2  其他思考</w:t>
      </w:r>
    </w:p>
    <w:p w14:paraId="0A0BC5AC">
      <w:pPr>
        <w:spacing w:before="0" w:after="120" w:line="360" w:lineRule="auto"/>
        <w:ind w:firstLine="480"/>
        <w:jc w:val="both"/>
      </w:pPr>
      <w:r>
        <w:rPr>
          <w:rFonts w:ascii="Times New Roman" w:hAnsi="Times New Roman" w:eastAsia="宋体"/>
          <w:b w:val="0"/>
          <w:color w:val="1F2937"/>
          <w:sz w:val="24"/>
        </w:rPr>
        <w:t>关于 R 学习与统计方法：本次复现让我在真实数据上完整走了一遍网络分析与多元方差分析流程，对 TMFG 的稀疏化思想、walktrap 的随机游走聚类、以及 MANOVA / Box's M 的前提假设（如协方差齐性）有了更具体的理解。</w:t>
      </w:r>
    </w:p>
    <w:p w14:paraId="5BBCE9F3">
      <w:pPr>
        <w:spacing w:before="0" w:after="120" w:line="360" w:lineRule="auto"/>
        <w:ind w:firstLine="480"/>
        <w:jc w:val="both"/>
      </w:pPr>
      <w:r>
        <w:rPr>
          <w:rFonts w:ascii="Times New Roman" w:hAnsi="Times New Roman" w:eastAsia="宋体"/>
          <w:b w:val="0"/>
          <w:color w:val="1F2937"/>
          <w:sz w:val="24"/>
        </w:rPr>
        <w:t>关于研究方法与可复现性：最大的体会是“复现并不等于点一下就得到相同结果”。像 MANOVA、Box's M 这类确定性的矩阵运算可以逐字一致；但只要流程中含有依赖软件版本的启发式步骤（如 walktrap 自动选择社区数），结果就可能漂移。因此，固定并记录程序包版本、公开完整数据与 readme，对可复现性至关重要——这也正是本研究遇到的几处缺口。</w:t>
      </w:r>
    </w:p>
    <w:p w14:paraId="6332B988">
      <w:pPr>
        <w:spacing w:before="0" w:after="120" w:line="360" w:lineRule="auto"/>
        <w:ind w:firstLine="480"/>
        <w:jc w:val="both"/>
      </w:pPr>
      <w:r>
        <w:rPr>
          <w:rFonts w:ascii="Times New Roman" w:hAnsi="Times New Roman" w:eastAsia="宋体"/>
          <w:b w:val="0"/>
          <w:color w:val="1F2937"/>
          <w:sz w:val="24"/>
        </w:rPr>
        <w:t>关于 AI 协作的收获与边界：本次复现的一个突出特点是与 AI（包括 Claude Code）协作完成。AI 显著改变了我的工作方式——把精力从“卡在装包、报错与不熟悉的函数”中解放出来，更多投入到理解方法与对照结果上。但 AI 也会自信地给出错误结果（如按社区编号硬贴分面名会贴错），必须由人逐项核对；它无法替代我对统计含义的理解与判断。因此我的定位始终是“人主导判断、AI 加速执行、结果以原文为标尺核验”，这与课程所鼓励的“有人引导的 AI 互动”一致。</w:t>
      </w:r>
    </w:p>
    <w:p w14:paraId="2E49D236">
      <w:pPr>
        <w:spacing w:before="280" w:after="160" w:line="360" w:lineRule="auto"/>
        <w:jc w:val="left"/>
      </w:pPr>
      <w:r>
        <w:rPr>
          <w:rFonts w:ascii="Times New Roman" w:hAnsi="Times New Roman" w:eastAsia="黑体"/>
          <w:b/>
          <w:color w:val="1E2761"/>
          <w:sz w:val="30"/>
        </w:rPr>
        <w:t>参考文献</w:t>
      </w:r>
    </w:p>
    <w:p w14:paraId="7B491E2A">
      <w:pPr>
        <w:spacing w:after="80" w:line="360" w:lineRule="auto"/>
        <w:ind w:left="480" w:hanging="480"/>
      </w:pPr>
      <w:r>
        <w:rPr>
          <w:rFonts w:ascii="Times New Roman" w:hAnsi="Times New Roman" w:eastAsia="宋体"/>
          <w:color w:val="1F2937"/>
          <w:sz w:val="21"/>
        </w:rPr>
        <w:t>Christensen, A. P., Cotter, K. N., &amp; Silvia, P. J. (2019). Reopening openness to experience: A network analysis of four openness to experience inventories. Journal of Personality Assessment, 101(6), 574–588. https://doi.org/10.1080/00223891.2018.1467428</w:t>
      </w:r>
    </w:p>
    <w:p w14:paraId="3CF8E892">
      <w:pPr>
        <w:spacing w:after="80" w:line="360" w:lineRule="auto"/>
        <w:ind w:left="480" w:hanging="480"/>
      </w:pPr>
      <w:r>
        <w:rPr>
          <w:rFonts w:ascii="Times New Roman" w:hAnsi="Times New Roman" w:eastAsia="宋体"/>
          <w:color w:val="1F2937"/>
          <w:sz w:val="21"/>
        </w:rPr>
        <w:t>DeYoung, C. G., Quilty, L. C., &amp; Peterson, J. B. (2007). Between facets and domains: 10 aspects of the Big Five. Journal of Personality and Social Psychology, 93(5), 880–896.</w:t>
      </w:r>
    </w:p>
    <w:p w14:paraId="751124D9">
      <w:pPr>
        <w:spacing w:after="80" w:line="360" w:lineRule="auto"/>
        <w:ind w:left="480" w:hanging="480"/>
      </w:pPr>
      <w:r>
        <w:rPr>
          <w:rFonts w:ascii="Times New Roman" w:hAnsi="Times New Roman" w:eastAsia="宋体"/>
          <w:color w:val="1F2937"/>
          <w:sz w:val="21"/>
        </w:rPr>
        <w:t>Massara, G. P., Di Matteo, T., &amp; Aste, T. (2016). Network filtering for big data: Triangulated Maximally Filtered Graph. Journal of Complex Networks, 5(2), 161–178.</w:t>
      </w:r>
    </w:p>
    <w:p w14:paraId="2CE93FC2">
      <w:pPr>
        <w:spacing w:after="80" w:line="360" w:lineRule="auto"/>
        <w:ind w:left="480" w:hanging="480"/>
      </w:pPr>
      <w:r>
        <w:rPr>
          <w:rFonts w:ascii="Times New Roman" w:hAnsi="Times New Roman" w:eastAsia="宋体"/>
          <w:color w:val="1F2937"/>
          <w:sz w:val="21"/>
        </w:rPr>
        <w:t>Pons, P., &amp; Latapy, M. (2006). Computing communities in large networks using random walks. Journal of Graph Algorithms and Applications, 10(2), 191–218.</w:t>
      </w:r>
    </w:p>
    <w:p w14:paraId="31174E4A">
      <w:pPr>
        <w:spacing w:after="80" w:line="360" w:lineRule="auto"/>
        <w:ind w:left="480" w:hanging="480"/>
      </w:pPr>
      <w:r>
        <w:rPr>
          <w:rFonts w:ascii="Times New Roman" w:hAnsi="Times New Roman" w:eastAsia="宋体"/>
          <w:color w:val="1F2937"/>
          <w:sz w:val="21"/>
        </w:rPr>
        <w:t>Woo, S. E., Chernyshenko, O. S., Longley, A., Zhang, Z.-X., Chiu, C.-Y., &amp; Stark, S. E. (2014). Openness to experience: Its lower level structure, measurement, and cross-cultural equivalence. Journal of Personality Assessment, 96(1), 29–45.</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44171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2392</Words>
  <Characters>3358</Characters>
  <Lines>0</Lines>
  <Paragraphs>0</Paragraphs>
  <TotalTime>0</TotalTime>
  <ScaleCrop>false</ScaleCrop>
  <LinksUpToDate>false</LinksUpToDate>
  <CharactersWithSpaces>3681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心.在彷徨</cp:lastModifiedBy>
  <dcterms:modified xsi:type="dcterms:W3CDTF">2026-06-22T11:22:20Z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eyJoZGlkIjoiNjg1MDY1ZDZiNDM4NzNjYWI4MjMwMTJjMDE5NWI3ZjkiLCJ1c2VySWQiOiI5MzYwNjc1OTcifQ==</vt:lpwstr>
  </property>
  <property fmtid="{D5CDD505-2E9C-101B-9397-08002B2CF9AE}" pid="3" name="KSOProductBuildVer">
    <vt:lpwstr>2052-12.1.0.26895</vt:lpwstr>
  </property>
  <property fmtid="{D5CDD505-2E9C-101B-9397-08002B2CF9AE}" pid="4" name="ICV">
    <vt:lpwstr>85D86F21FFBA45FDBAF3D8CFCE2230F5_12</vt:lpwstr>
  </property>
</Properties>
</file>