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line="360" w:lineRule="auto" w:after="20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SEQUENCE PENGGUNAAN APLIKASI</w:t>
      </w:r>
    </w:p>
    <w:p>
      <w:pPr>
        <w:spacing w:line="360" w:lineRule="auto" w:after="60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FAMFINANCE</w:t>
      </w:r>
    </w:p>
    <w:p>
      <w:pPr>
        <w:spacing w:line="360" w:lineRule="auto" w:after="120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Sistem Informasi Keuangan Keluarga Berbasis Web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WEB PROGRAMMING II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2026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SEQUENCE</w:t>
        <w:br/>
        <w:t>PENGGUNAAN APLIKASI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1.  Urutan Penggunaan Utama</w:t>
      </w:r>
    </w:p>
    <w:p>
      <w:pPr>
        <w:keepNext w:val="0"/>
        <w:ind w:firstLine="720"/>
      </w:pPr>
      <w:r>
        <w:rPr>
          <w:rFonts w:ascii="Times New Roman" w:hAnsi="Times New Roman" w:eastAsia="Times New Roman"/>
          <w:color w:val="000000"/>
          <w:sz w:val="24"/>
        </w:rPr>
        <w:t>Sequence penggunaan berikut menyusun alur operasional FamFinance dari pembuatan akun sampai pengguna keluar dari aplikasi. Urutan dapat disesuaikan, tetapi kategori, dompet, dan anggaran sebaiknya disiapkan sebelum pencatatan rutin.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Registrasi keluarga atau login menggunakan email maupun username.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Periksa dashboard untuk memahami posisi saldo dan periode aktif.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Siapkan kategori pemasukan dan pengeluaran.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Siapkan dompet tunai, bank, atau e-wallet beserta saldo awal.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Tetapkan anggaran bulanan pada kategori pengeluaran.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Catat transaksi sebagai Sukses atau Batal.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Pantau progress anggaran dan cashflow melalui dashboard.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Gunakan laporan dan histori untuk evaluasi serta audit perubahan.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Kelola anggota keluarga dan status akun bila diperlukan.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Logout setelah selesai menggunakan aplikasi.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2.  Diagram Interaksi Sistem</w:t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1.  Login Pengguna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2.  Dashboard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3.  Pengelolaan Transaksi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trans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4.  Kategori dan Anggaran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category_bud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5.  Dompet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wall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6.  Anggota Keluarga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fami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7.  Laporan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re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 w:firstLine="0"/>
      </w:pPr>
      <w:r>
        <w:rPr>
          <w:rFonts w:ascii="Times New Roman" w:hAnsi="Times New Roman" w:eastAsia="Times New Roman"/>
          <w:b/>
          <w:color w:val="000000"/>
          <w:sz w:val="24"/>
        </w:rPr>
        <w:t>8.  Logout</w:t>
      </w:r>
      <w:r>
        <w:rPr>
          <w:rFonts w:ascii="Times New Roman" w:hAnsi="Times New Roman" w:eastAsia="Times New Roman"/>
          <w:color w:val="000000"/>
          <w:sz w:val="24"/>
        </w:rPr>
      </w:r>
    </w:p>
    <w:p>
      <w:pPr>
        <w:keepLines/>
        <w:spacing w:before="12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076000" cy="2760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log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76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3.  Aturan Operasional Penting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Gunakan status Sukses hanya untuk transaksi yang benar-benar terjadi karena status tersebut memengaruhi saldo.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Gunakan status Batal untuk transaksi yang tidak direalisasikan; transaksi tetap tercatat tanpa dampak saldo.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Kategori transaksi harus sesuai dengan tipe pemasukan atau pengeluaran.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Dompet yang telah dipakai transaksi tidak dapat dihapus untuk menjaga referensi data.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Data kategori, dompet, transaksi, dan anggota hanya dapat dipakai oleh keluarga yang sama.</w:t>
      </w:r>
    </w:p>
    <w:p>
      <w:pPr>
        <w:pStyle w:val="ListNumber"/>
        <w:spacing w:line="480" w:lineRule="auto"/>
        <w:ind w:left="720" w:hanging="363"/>
      </w:pPr>
      <w:r>
        <w:rPr>
          <w:rFonts w:ascii="Times New Roman" w:hAnsi="Times New Roman" w:eastAsia="Times New Roman"/>
          <w:color w:val="000000"/>
          <w:sz w:val="24"/>
        </w:rPr>
        <w:t>Laporan nominal hanya menghitung transaksi berstatus Sukses.</w:t>
      </w:r>
    </w:p>
    <w:sectPr w:rsidR="00FC693F" w:rsidRPr="0006063C" w:rsidSect="00034616">
      <w:footerReference w:type="default" r:id="rId9"/>
      <w:pgSz w:w="12240" w:h="15840"/>
      <w:pgMar w:top="1701" w:right="1701" w:bottom="1701" w:left="2268" w:header="709" w:footer="709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 w:line="480" w:lineRule="auto"/>
      <w:ind w:left="567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before="0" w:after="0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480" w:lineRule="auto" w:before="0" w:after="0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before="0" w:after="0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480" w:lineRule="auto" w:before="0" w:after="0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40" w:lineRule="auto" w:before="0" w:after="0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