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b w:val="0"/>
        </w:rPr>
        <w:t>Cahier des charges : MediBook</w:t>
      </w:r>
    </w:p>
    <w:p>
      <w:pPr>
        <w:pStyle w:val="Subtitle"/>
      </w:pPr>
      <w:r>
        <w:rPr>
          <w:b w:val="0"/>
        </w:rPr>
        <w:t>Plateforme SaaS de prise de rendez-vous et de suivi des patients · version 0.1 · PFE ESPRIT 2026-2027</w:t>
      </w:r>
    </w:p>
    <w:p>
      <w:r>
        <w:br w:type="page"/>
      </w:r>
    </w:p>
    <w:p>
      <w:r>
        <w:rPr>
          <w:b/>
          <w:color w:val="1F6FEB"/>
          <w:sz w:val="32"/>
        </w:rPr>
        <w:t>Sommaire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1. Présentation du projet</w:t>
      </w:r>
      <w:r>
        <w:br/>
        <w:t>2. Acteurs</w:t>
      </w:r>
      <w:r>
        <w:br/>
        <w:t>3. Exigences fonctionnelles</w:t>
      </w:r>
      <w:r>
        <w:br/>
        <w:t>4. Exigences non fonctionnelles</w:t>
      </w:r>
      <w:r>
        <w:br/>
        <w:t>5. Contraintes techniques</w:t>
      </w:r>
      <w:r>
        <w:br/>
        <w:t>6. Diagrammes UML</w:t>
      </w:r>
      <w:r>
        <w:br/>
        <w:t>7. Planning et livrables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 w:val="0"/>
        </w:rPr>
        <w:t>1. Présentation du projet</w:t>
      </w:r>
    </w:p>
    <w:p>
      <w:pPr>
        <w:pStyle w:val="Heading2"/>
      </w:pPr>
      <w:r>
        <w:rPr>
          <w:b w:val="0"/>
        </w:rPr>
        <w:t>1.1 Contexte</w:t>
      </w:r>
    </w:p>
    <w:p>
      <w:r>
        <w:rPr>
          <w:b w:val="0"/>
        </w:rPr>
        <w:t xml:space="preserve">Nova Solutions développe des applications pour des cliniques privées. Ses clients gèrent encore leurs rendez-vous au téléphone, sur papier ou dans un tableur. Ce projet de fin d'études crée </w:t>
      </w:r>
      <w:r>
        <w:rPr>
          <w:b/>
        </w:rPr>
        <w:t>MediBook</w:t>
      </w:r>
      <w:r>
        <w:rPr>
          <w:b w:val="0"/>
        </w:rPr>
        <w:t>, une plateforme SaaS qui leur permet de proposer la prise de rendez-vous en ligne.</w:t>
      </w:r>
    </w:p>
    <w:p>
      <w:pPr>
        <w:pStyle w:val="Heading2"/>
      </w:pPr>
      <w:r>
        <w:rPr>
          <w:b w:val="0"/>
        </w:rPr>
        <w:t>1.2 Objectifs</w:t>
      </w:r>
    </w:p>
    <w:p>
      <w:pPr>
        <w:pStyle w:val="ListBullet"/>
      </w:pPr>
      <w:r>
        <w:rPr>
          <w:b w:val="0"/>
        </w:rPr>
        <w:t>Permettre aux patients de réserver 24 h/24 sans appel téléphonique.</w:t>
      </w:r>
    </w:p>
    <w:p>
      <w:pPr>
        <w:pStyle w:val="ListBullet"/>
      </w:pPr>
      <w:r>
        <w:rPr>
          <w:b w:val="0"/>
        </w:rPr>
        <w:t>Réduire d'au moins 30 % les rendez-vous non honorés grâce aux rappels.</w:t>
      </w:r>
    </w:p>
    <w:p>
      <w:pPr>
        <w:pStyle w:val="ListBullet"/>
      </w:pPr>
      <w:r>
        <w:rPr>
          <w:b w:val="0"/>
        </w:rPr>
        <w:t>Donner à chaque clinique un tableau de bord de son activité.</w:t>
      </w:r>
    </w:p>
    <w:p>
      <w:pPr>
        <w:pStyle w:val="ListBullet"/>
      </w:pPr>
      <w:r>
        <w:rPr>
          <w:b w:val="0"/>
        </w:rPr>
        <w:t>Servir plusieurs cliniques sur une seule plateforme, avec des données isolées.</w:t>
      </w:r>
    </w:p>
    <w:p>
      <w:pPr>
        <w:pStyle w:val="Heading2"/>
      </w:pPr>
      <w:r>
        <w:rPr>
          <w:b w:val="0"/>
        </w:rPr>
        <w:t>1.3 Périmètre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5C7F7"/>
          <w:left w:val="single" w:sz="4" w:space="0" w:color="B5C7F7"/>
          <w:bottom w:val="single" w:sz="4" w:space="0" w:color="B5C7F7"/>
          <w:right w:val="single" w:sz="4" w:space="0" w:color="B5C7F7"/>
          <w:insideH w:val="single" w:sz="4" w:space="0" w:color="B5C7F7"/>
          <w:insideV w:val="single" w:sz="4" w:space="0" w:color="B5C7F7"/>
        </w:tblBorders>
        <w:tblLayout w:type="fixed"/>
      </w:tblPr>
      <w:tblGrid>
        <w:gridCol w:w="5733"/>
        <w:gridCol w:w="3621"/>
      </w:tblGrid>
      <w:tr>
        <w:trPr>
          <w:tblHeader w:val="true"/>
        </w:trPr>
        <w:tc>
          <w:tcPr>
            <w:tcW w:type="dxa" w:w="5733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Inclus</w:t>
            </w:r>
          </w:p>
        </w:tc>
        <w:tc>
          <w:tcPr>
            <w:tcW w:type="dxa" w:w="3621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Exclu</w:t>
            </w:r>
          </w:p>
        </w:tc>
      </w:tr>
      <w:tr>
        <w:tc>
          <w:tcPr>
            <w:tcW w:type="dxa" w:w="5733"/>
          </w:tcPr>
          <w:p>
            <w:pPr>
              <w:spacing w:after="0"/>
            </w:pPr>
            <w:r>
              <w:rPr>
                <w:b w:val="0"/>
                <w:sz w:val="17"/>
              </w:rPr>
              <w:t>Espace patient, espace clinique, console d'administration</w:t>
            </w:r>
          </w:p>
        </w:tc>
        <w:tc>
          <w:tcPr>
            <w:tcW w:type="dxa" w:w="3621"/>
          </w:tcPr>
          <w:p>
            <w:pPr>
              <w:spacing w:after="0"/>
            </w:pPr>
            <w:r>
              <w:rPr>
                <w:b w:val="0"/>
                <w:sz w:val="17"/>
              </w:rPr>
              <w:t>Téléconsultation vidéo</w:t>
            </w:r>
          </w:p>
        </w:tc>
      </w:tr>
      <w:tr>
        <w:tc>
          <w:tcPr>
            <w:tcW w:type="dxa" w:w="5733"/>
          </w:tcPr>
          <w:p>
            <w:pPr>
              <w:spacing w:after="0"/>
            </w:pPr>
            <w:r>
              <w:rPr>
                <w:b w:val="0"/>
                <w:sz w:val="17"/>
              </w:rPr>
              <w:t>Rappels SMS et e-mail</w:t>
            </w:r>
          </w:p>
        </w:tc>
        <w:tc>
          <w:tcPr>
            <w:tcW w:type="dxa" w:w="3621"/>
          </w:tcPr>
          <w:p>
            <w:pPr>
              <w:spacing w:after="0"/>
            </w:pPr>
            <w:r>
              <w:rPr>
                <w:b w:val="0"/>
                <w:sz w:val="17"/>
              </w:rPr>
              <w:t>Paiement en ligne de la consultation</w:t>
            </w:r>
          </w:p>
        </w:tc>
      </w:tr>
      <w:tr>
        <w:tc>
          <w:tcPr>
            <w:tcW w:type="dxa" w:w="5733"/>
          </w:tcPr>
          <w:p>
            <w:pPr>
              <w:spacing w:after="0"/>
            </w:pPr>
            <w:r>
              <w:rPr>
                <w:b w:val="0"/>
                <w:sz w:val="17"/>
              </w:rPr>
              <w:t>Tableau de bord et export CSV</w:t>
            </w:r>
          </w:p>
        </w:tc>
        <w:tc>
          <w:tcPr>
            <w:tcW w:type="dxa" w:w="3621"/>
          </w:tcPr>
          <w:p>
            <w:pPr>
              <w:spacing w:after="0"/>
            </w:pPr>
            <w:r>
              <w:rPr>
                <w:b w:val="0"/>
                <w:sz w:val="17"/>
              </w:rPr>
              <w:t>Dossier médical du patient</w:t>
            </w:r>
          </w:p>
        </w:tc>
      </w:tr>
      <w:tr>
        <w:tc>
          <w:tcPr>
            <w:tcW w:type="dxa" w:w="5733"/>
          </w:tcPr>
          <w:p>
            <w:pPr>
              <w:spacing w:after="0"/>
            </w:pPr>
            <w:r>
              <w:rPr>
                <w:b w:val="0"/>
                <w:sz w:val="17"/>
              </w:rPr>
              <w:t>Abonnements des cliniques</w:t>
            </w:r>
          </w:p>
        </w:tc>
        <w:tc>
          <w:tcPr>
            <w:tcW w:type="dxa" w:w="3621"/>
          </w:tcPr>
          <w:p>
            <w:pPr>
              <w:spacing w:after="0"/>
            </w:pPr>
            <w:r>
              <w:rPr>
                <w:b w:val="0"/>
                <w:sz w:val="17"/>
              </w:rPr>
              <w:t>Application mobile native</w:t>
            </w:r>
          </w:p>
        </w:tc>
      </w:tr>
    </w:tbl>
    <w:p/>
    <w:p>
      <w:pPr>
        <w:pStyle w:val="Heading1"/>
      </w:pPr>
      <w:r>
        <w:rPr>
          <w:b w:val="0"/>
        </w:rPr>
        <w:t>2. Acteurs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5C7F7"/>
          <w:left w:val="single" w:sz="4" w:space="0" w:color="B5C7F7"/>
          <w:bottom w:val="single" w:sz="4" w:space="0" w:color="B5C7F7"/>
          <w:right w:val="single" w:sz="4" w:space="0" w:color="B5C7F7"/>
          <w:insideH w:val="single" w:sz="4" w:space="0" w:color="B5C7F7"/>
          <w:insideV w:val="single" w:sz="4" w:space="0" w:color="B5C7F7"/>
        </w:tblBorders>
        <w:tblLayout w:type="fixed"/>
      </w:tblPr>
      <w:tblGrid>
        <w:gridCol w:w="2673"/>
        <w:gridCol w:w="6682"/>
      </w:tblGrid>
      <w:tr>
        <w:trPr>
          <w:tblHeader w:val="true"/>
        </w:trPr>
        <w:tc>
          <w:tcPr>
            <w:tcW w:type="dxa" w:w="2673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Acteur</w:t>
            </w:r>
          </w:p>
        </w:tc>
        <w:tc>
          <w:tcPr>
            <w:tcW w:type="dxa" w:w="6682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673"/>
          </w:tcPr>
          <w:p>
            <w:pPr>
              <w:spacing w:after="0"/>
            </w:pPr>
            <w:r>
              <w:rPr>
                <w:b w:val="0"/>
                <w:sz w:val="17"/>
              </w:rPr>
              <w:t>Patient</w:t>
            </w:r>
          </w:p>
        </w:tc>
        <w:tc>
          <w:tcPr>
            <w:tcW w:type="dxa" w:w="6682"/>
          </w:tcPr>
          <w:p>
            <w:pPr>
              <w:spacing w:after="0"/>
            </w:pPr>
            <w:r>
              <w:rPr>
                <w:b w:val="0"/>
                <w:sz w:val="17"/>
              </w:rPr>
              <w:t>Recherche un praticien, réserve, déplace ou annule un rendez-vous.</w:t>
            </w:r>
          </w:p>
        </w:tc>
      </w:tr>
      <w:tr>
        <w:tc>
          <w:tcPr>
            <w:tcW w:type="dxa" w:w="2673"/>
          </w:tcPr>
          <w:p>
            <w:pPr>
              <w:spacing w:after="0"/>
            </w:pPr>
            <w:r>
              <w:rPr>
                <w:b w:val="0"/>
                <w:sz w:val="17"/>
              </w:rPr>
              <w:t>Secrétaire</w:t>
            </w:r>
          </w:p>
        </w:tc>
        <w:tc>
          <w:tcPr>
            <w:tcW w:type="dxa" w:w="6682"/>
          </w:tcPr>
          <w:p>
            <w:pPr>
              <w:spacing w:after="0"/>
            </w:pPr>
            <w:r>
              <w:rPr>
                <w:b w:val="0"/>
                <w:sz w:val="17"/>
              </w:rPr>
              <w:t>Gère les rendez-vous du jour de sa clinique.</w:t>
            </w:r>
          </w:p>
        </w:tc>
      </w:tr>
      <w:tr>
        <w:tc>
          <w:tcPr>
            <w:tcW w:type="dxa" w:w="2673"/>
          </w:tcPr>
          <w:p>
            <w:pPr>
              <w:spacing w:after="0"/>
            </w:pPr>
            <w:r>
              <w:rPr>
                <w:b w:val="0"/>
                <w:sz w:val="17"/>
              </w:rPr>
              <w:t>Praticien</w:t>
            </w:r>
          </w:p>
        </w:tc>
        <w:tc>
          <w:tcPr>
            <w:tcW w:type="dxa" w:w="6682"/>
          </w:tcPr>
          <w:p>
            <w:pPr>
              <w:spacing w:after="0"/>
            </w:pPr>
            <w:r>
              <w:rPr>
                <w:b w:val="0"/>
                <w:sz w:val="17"/>
              </w:rPr>
              <w:t>Définit ses horaires et ses absences.</w:t>
            </w:r>
          </w:p>
        </w:tc>
      </w:tr>
      <w:tr>
        <w:tc>
          <w:tcPr>
            <w:tcW w:type="dxa" w:w="2673"/>
          </w:tcPr>
          <w:p>
            <w:pPr>
              <w:spacing w:after="0"/>
            </w:pPr>
            <w:r>
              <w:rPr>
                <w:b w:val="0"/>
                <w:sz w:val="17"/>
              </w:rPr>
              <w:t>Administrateur clinique</w:t>
            </w:r>
          </w:p>
        </w:tc>
        <w:tc>
          <w:tcPr>
            <w:tcW w:type="dxa" w:w="6682"/>
          </w:tcPr>
          <w:p>
            <w:pPr>
              <w:spacing w:after="0"/>
            </w:pPr>
            <w:r>
              <w:rPr>
                <w:b w:val="0"/>
                <w:sz w:val="17"/>
              </w:rPr>
              <w:t>Gère le personnel, les motifs de consultation et l'abonnement.</w:t>
            </w:r>
          </w:p>
        </w:tc>
      </w:tr>
      <w:tr>
        <w:tc>
          <w:tcPr>
            <w:tcW w:type="dxa" w:w="2673"/>
          </w:tcPr>
          <w:p>
            <w:pPr>
              <w:spacing w:after="0"/>
            </w:pPr>
            <w:r>
              <w:rPr>
                <w:b w:val="0"/>
                <w:sz w:val="17"/>
              </w:rPr>
              <w:t>Super-administrateur</w:t>
            </w:r>
          </w:p>
        </w:tc>
        <w:tc>
          <w:tcPr>
            <w:tcW w:type="dxa" w:w="6682"/>
          </w:tcPr>
          <w:p>
            <w:pPr>
              <w:spacing w:after="0"/>
            </w:pPr>
            <w:r>
              <w:rPr>
                <w:b w:val="0"/>
                <w:sz w:val="17"/>
              </w:rPr>
              <w:t>Crée les cliniques et supervise la plateforme.</w:t>
            </w:r>
          </w:p>
        </w:tc>
      </w:tr>
      <w:tr>
        <w:tc>
          <w:tcPr>
            <w:tcW w:type="dxa" w:w="2673"/>
          </w:tcPr>
          <w:p>
            <w:pPr>
              <w:spacing w:after="0"/>
            </w:pPr>
            <w:r>
              <w:rPr>
                <w:b w:val="0"/>
                <w:sz w:val="17"/>
              </w:rPr>
              <w:t>Service de notification</w:t>
            </w:r>
          </w:p>
        </w:tc>
        <w:tc>
          <w:tcPr>
            <w:tcW w:type="dxa" w:w="6682"/>
          </w:tcPr>
          <w:p>
            <w:pPr>
              <w:spacing w:after="0"/>
            </w:pPr>
            <w:r>
              <w:rPr>
                <w:b w:val="0"/>
                <w:sz w:val="17"/>
              </w:rPr>
              <w:t>Système externe qui envoie les SMS et les e-mails.</w:t>
            </w:r>
          </w:p>
        </w:tc>
      </w:tr>
    </w:tbl>
    <w:p/>
    <w:p>
      <w:pPr>
        <w:pStyle w:val="Heading1"/>
      </w:pPr>
      <w:r>
        <w:rPr>
          <w:b w:val="0"/>
        </w:rPr>
        <w:t>3. Exigences fonctionnelles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5C7F7"/>
          <w:left w:val="single" w:sz="4" w:space="0" w:color="B5C7F7"/>
          <w:bottom w:val="single" w:sz="4" w:space="0" w:color="B5C7F7"/>
          <w:right w:val="single" w:sz="4" w:space="0" w:color="B5C7F7"/>
          <w:insideH w:val="single" w:sz="4" w:space="0" w:color="B5C7F7"/>
          <w:insideV w:val="single" w:sz="4" w:space="0" w:color="B5C7F7"/>
        </w:tblBorders>
        <w:tblLayout w:type="fixed"/>
      </w:tblPr>
      <w:tblGrid>
        <w:gridCol w:w="1039"/>
        <w:gridCol w:w="6929"/>
        <w:gridCol w:w="1386"/>
      </w:tblGrid>
      <w:tr>
        <w:trPr>
          <w:tblHeader w:val="true"/>
        </w:trPr>
        <w:tc>
          <w:tcPr>
            <w:tcW w:type="dxa" w:w="1039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6929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Exigence</w:t>
            </w:r>
          </w:p>
        </w:tc>
        <w:tc>
          <w:tcPr>
            <w:tcW w:type="dxa" w:w="1386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Priorité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EF-01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patient crée un compte avec son e-mail et son numéro de téléphone.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EF-02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personnel se connecte avec un second facteur (TOTP).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EF-03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L'administrateur clinique ajoute, modifie et désactive un praticien.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EF-04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praticien définit ses horaires hebdomadaires et ses absences.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EF-05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système génère les créneaux à partir des horaires et de la durée du motif.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EF-06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patient recherche un praticien par spécialité et par ville.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EF-07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patient réserve un créneau libre ; deux patients ne peuvent pas réserver le même créneau.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Must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EF-08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patient déplace ou annule un rendez-vous jusqu'à 2 h avant.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Should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EF-09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système envoie un rappel 24 h avant le rendez-vous, par SMS et par e-mail.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Should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EF-10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La secrétaire marque un patient absent.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Should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EF-11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L'administrateur clinique consulte le taux d'occupation et le taux d'absence.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Could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b w:val="0"/>
                <w:sz w:val="17"/>
              </w:rPr>
              <w:t>EF-12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sz w:val="17"/>
              </w:rPr>
              <w:t>Le super-administrateur suspend une clinique dont l'abonnement est impayé.</w:t>
            </w:r>
          </w:p>
        </w:tc>
        <w:tc>
          <w:tcPr>
            <w:tcW w:type="dxa" w:w="1386"/>
          </w:tcPr>
          <w:p>
            <w:pPr>
              <w:spacing w:after="0"/>
            </w:pPr>
            <w:r>
              <w:rPr>
                <w:b w:val="0"/>
                <w:sz w:val="17"/>
              </w:rPr>
              <w:t>Could</w:t>
            </w:r>
          </w:p>
        </w:tc>
      </w:tr>
    </w:tbl>
    <w:p/>
    <w:p>
      <w:pPr>
        <w:pStyle w:val="Heading1"/>
      </w:pPr>
      <w:r>
        <w:rPr>
          <w:b w:val="0"/>
        </w:rPr>
        <w:t>4. Exigences non fonctionnelles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5C7F7"/>
          <w:left w:val="single" w:sz="4" w:space="0" w:color="B5C7F7"/>
          <w:bottom w:val="single" w:sz="4" w:space="0" w:color="B5C7F7"/>
          <w:right w:val="single" w:sz="4" w:space="0" w:color="B5C7F7"/>
          <w:insideH w:val="single" w:sz="4" w:space="0" w:color="B5C7F7"/>
          <w:insideV w:val="single" w:sz="4" w:space="0" w:color="B5C7F7"/>
        </w:tblBorders>
        <w:tblLayout w:type="fixed"/>
      </w:tblPr>
      <w:tblGrid>
        <w:gridCol w:w="1075"/>
        <w:gridCol w:w="1828"/>
        <w:gridCol w:w="6451"/>
      </w:tblGrid>
      <w:tr>
        <w:trPr>
          <w:tblHeader w:val="true"/>
        </w:trPr>
        <w:tc>
          <w:tcPr>
            <w:tcW w:type="dxa" w:w="1075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1828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Catégorie</w:t>
            </w:r>
          </w:p>
        </w:tc>
        <w:tc>
          <w:tcPr>
            <w:tcW w:type="dxa" w:w="6451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Exigence</w:t>
            </w:r>
          </w:p>
        </w:tc>
      </w:tr>
      <w:tr>
        <w:tc>
          <w:tcPr>
            <w:tcW w:type="dxa" w:w="1075"/>
          </w:tcPr>
          <w:p>
            <w:pPr>
              <w:spacing w:after="0"/>
            </w:pPr>
            <w:r>
              <w:rPr>
                <w:b w:val="0"/>
                <w:sz w:val="17"/>
              </w:rPr>
              <w:t>ENF-01</w:t>
            </w:r>
          </w:p>
        </w:tc>
        <w:tc>
          <w:tcPr>
            <w:tcW w:type="dxa" w:w="1828"/>
          </w:tcPr>
          <w:p>
            <w:pPr>
              <w:spacing w:after="0"/>
            </w:pPr>
            <w:r>
              <w:rPr>
                <w:b w:val="0"/>
                <w:sz w:val="17"/>
              </w:rPr>
              <w:t>Sécurité</w:t>
            </w:r>
          </w:p>
        </w:tc>
        <w:tc>
          <w:tcPr>
            <w:tcW w:type="dxa" w:w="6451"/>
          </w:tcPr>
          <w:p>
            <w:pPr>
              <w:spacing w:after="0"/>
            </w:pPr>
            <w:r>
              <w:rPr>
                <w:b w:val="0"/>
                <w:sz w:val="17"/>
              </w:rPr>
              <w:t>Données chiffrées en transit (TLS 1.2+) et au repos.</w:t>
            </w:r>
          </w:p>
        </w:tc>
      </w:tr>
      <w:tr>
        <w:tc>
          <w:tcPr>
            <w:tcW w:type="dxa" w:w="1075"/>
          </w:tcPr>
          <w:p>
            <w:pPr>
              <w:spacing w:after="0"/>
            </w:pPr>
            <w:r>
              <w:rPr>
                <w:b w:val="0"/>
                <w:sz w:val="17"/>
              </w:rPr>
              <w:t>ENF-02</w:t>
            </w:r>
          </w:p>
        </w:tc>
        <w:tc>
          <w:tcPr>
            <w:tcW w:type="dxa" w:w="1828"/>
          </w:tcPr>
          <w:p>
            <w:pPr>
              <w:spacing w:after="0"/>
            </w:pPr>
            <w:r>
              <w:rPr>
                <w:b w:val="0"/>
                <w:sz w:val="17"/>
              </w:rPr>
              <w:t>Isolation</w:t>
            </w:r>
          </w:p>
        </w:tc>
        <w:tc>
          <w:tcPr>
            <w:tcW w:type="dxa" w:w="6451"/>
          </w:tcPr>
          <w:p>
            <w:pPr>
              <w:spacing w:after="0"/>
            </w:pPr>
            <w:r>
              <w:rPr>
                <w:b w:val="0"/>
                <w:sz w:val="17"/>
              </w:rPr>
              <w:t>Aucune requête ne renvoie les données d'une autre clinique ; un test automatisé le vérifie.</w:t>
            </w:r>
          </w:p>
        </w:tc>
      </w:tr>
      <w:tr>
        <w:tc>
          <w:tcPr>
            <w:tcW w:type="dxa" w:w="1075"/>
          </w:tcPr>
          <w:p>
            <w:pPr>
              <w:spacing w:after="0"/>
            </w:pPr>
            <w:r>
              <w:rPr>
                <w:b w:val="0"/>
                <w:sz w:val="17"/>
              </w:rPr>
              <w:t>ENF-03</w:t>
            </w:r>
          </w:p>
        </w:tc>
        <w:tc>
          <w:tcPr>
            <w:tcW w:type="dxa" w:w="1828"/>
          </w:tcPr>
          <w:p>
            <w:pPr>
              <w:spacing w:after="0"/>
            </w:pPr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6451"/>
          </w:tcPr>
          <w:p>
            <w:pPr>
              <w:spacing w:after="0"/>
            </w:pPr>
            <w:r>
              <w:rPr>
                <w:b w:val="0"/>
                <w:sz w:val="17"/>
              </w:rPr>
              <w:t>Recherche de créneaux en moins de 500 ms pour 95 % des requêtes.</w:t>
            </w:r>
          </w:p>
        </w:tc>
      </w:tr>
      <w:tr>
        <w:tc>
          <w:tcPr>
            <w:tcW w:type="dxa" w:w="1075"/>
          </w:tcPr>
          <w:p>
            <w:pPr>
              <w:spacing w:after="0"/>
            </w:pPr>
            <w:r>
              <w:rPr>
                <w:b w:val="0"/>
                <w:sz w:val="17"/>
              </w:rPr>
              <w:t>ENF-04</w:t>
            </w:r>
          </w:p>
        </w:tc>
        <w:tc>
          <w:tcPr>
            <w:tcW w:type="dxa" w:w="1828"/>
          </w:tcPr>
          <w:p>
            <w:pPr>
              <w:spacing w:after="0"/>
            </w:pPr>
            <w:r>
              <w:rPr>
                <w:b w:val="0"/>
                <w:sz w:val="17"/>
              </w:rPr>
              <w:t>Disponibilité</w:t>
            </w:r>
          </w:p>
        </w:tc>
        <w:tc>
          <w:tcPr>
            <w:tcW w:type="dxa" w:w="6451"/>
          </w:tcPr>
          <w:p>
            <w:pPr>
              <w:spacing w:after="0"/>
            </w:pPr>
            <w:r>
              <w:rPr>
                <w:b w:val="0"/>
                <w:sz w:val="17"/>
              </w:rPr>
              <w:t>99,5 % par mois.</w:t>
            </w:r>
          </w:p>
        </w:tc>
      </w:tr>
      <w:tr>
        <w:tc>
          <w:tcPr>
            <w:tcW w:type="dxa" w:w="1075"/>
          </w:tcPr>
          <w:p>
            <w:pPr>
              <w:spacing w:after="0"/>
            </w:pPr>
            <w:r>
              <w:rPr>
                <w:b w:val="0"/>
                <w:sz w:val="17"/>
              </w:rPr>
              <w:t>ENF-05</w:t>
            </w:r>
          </w:p>
        </w:tc>
        <w:tc>
          <w:tcPr>
            <w:tcW w:type="dxa" w:w="1828"/>
          </w:tcPr>
          <w:p>
            <w:pPr>
              <w:spacing w:after="0"/>
            </w:pPr>
            <w:r>
              <w:rPr>
                <w:b w:val="0"/>
                <w:sz w:val="17"/>
              </w:rPr>
              <w:t>Accessibilité</w:t>
            </w:r>
          </w:p>
        </w:tc>
        <w:tc>
          <w:tcPr>
            <w:tcW w:type="dxa" w:w="6451"/>
          </w:tcPr>
          <w:p>
            <w:pPr>
              <w:spacing w:after="0"/>
            </w:pPr>
            <w:r>
              <w:rPr>
                <w:b w:val="0"/>
                <w:sz w:val="17"/>
              </w:rPr>
              <w:t>WCAG 2.2 niveau AA.</w:t>
            </w:r>
          </w:p>
        </w:tc>
      </w:tr>
      <w:tr>
        <w:tc>
          <w:tcPr>
            <w:tcW w:type="dxa" w:w="1075"/>
          </w:tcPr>
          <w:p>
            <w:pPr>
              <w:spacing w:after="0"/>
            </w:pPr>
            <w:r>
              <w:rPr>
                <w:b w:val="0"/>
                <w:sz w:val="17"/>
              </w:rPr>
              <w:t>ENF-06</w:t>
            </w:r>
          </w:p>
        </w:tc>
        <w:tc>
          <w:tcPr>
            <w:tcW w:type="dxa" w:w="1828"/>
          </w:tcPr>
          <w:p>
            <w:pPr>
              <w:spacing w:after="0"/>
            </w:pPr>
            <w:r>
              <w:rPr>
                <w:b w:val="0"/>
                <w:sz w:val="17"/>
              </w:rPr>
              <w:t>Langues</w:t>
            </w:r>
          </w:p>
        </w:tc>
        <w:tc>
          <w:tcPr>
            <w:tcW w:type="dxa" w:w="6451"/>
          </w:tcPr>
          <w:p>
            <w:pPr>
              <w:spacing w:after="0"/>
            </w:pPr>
            <w:r>
              <w:rPr>
                <w:b w:val="0"/>
                <w:sz w:val="17"/>
              </w:rPr>
              <w:t>Français, anglais, arabe (droite à gauche).</w:t>
            </w:r>
          </w:p>
        </w:tc>
      </w:tr>
      <w:tr>
        <w:tc>
          <w:tcPr>
            <w:tcW w:type="dxa" w:w="1075"/>
          </w:tcPr>
          <w:p>
            <w:pPr>
              <w:spacing w:after="0"/>
            </w:pPr>
            <w:r>
              <w:rPr>
                <w:b w:val="0"/>
                <w:sz w:val="17"/>
              </w:rPr>
              <w:t>ENF-07</w:t>
            </w:r>
          </w:p>
        </w:tc>
        <w:tc>
          <w:tcPr>
            <w:tcW w:type="dxa" w:w="1828"/>
          </w:tcPr>
          <w:p>
            <w:pPr>
              <w:spacing w:after="0"/>
            </w:pPr>
            <w:r>
              <w:rPr>
                <w:b w:val="0"/>
                <w:sz w:val="17"/>
              </w:rPr>
              <w:t>Conformité</w:t>
            </w:r>
          </w:p>
        </w:tc>
        <w:tc>
          <w:tcPr>
            <w:tcW w:type="dxa" w:w="6451"/>
          </w:tcPr>
          <w:p>
            <w:pPr>
              <w:spacing w:after="0"/>
            </w:pPr>
            <w:r>
              <w:rPr>
                <w:b w:val="0"/>
                <w:sz w:val="17"/>
              </w:rPr>
              <w:t>Loi tunisienne sur la protection des données personnelles.</w:t>
            </w:r>
          </w:p>
        </w:tc>
      </w:tr>
    </w:tbl>
    <w:p/>
    <w:p>
      <w:pPr>
        <w:pStyle w:val="Heading1"/>
      </w:pPr>
      <w:r>
        <w:rPr>
          <w:b w:val="0"/>
        </w:rPr>
        <w:t>5. Contraintes techniques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5C7F7"/>
          <w:left w:val="single" w:sz="4" w:space="0" w:color="B5C7F7"/>
          <w:bottom w:val="single" w:sz="4" w:space="0" w:color="B5C7F7"/>
          <w:right w:val="single" w:sz="4" w:space="0" w:color="B5C7F7"/>
          <w:insideH w:val="single" w:sz="4" w:space="0" w:color="B5C7F7"/>
          <w:insideV w:val="single" w:sz="4" w:space="0" w:color="B5C7F7"/>
        </w:tblBorders>
        <w:tblLayout w:type="fixed"/>
      </w:tblPr>
      <w:tblGrid>
        <w:gridCol w:w="3465"/>
        <w:gridCol w:w="5890"/>
      </w:tblGrid>
      <w:tr>
        <w:trPr>
          <w:tblHeader w:val="true"/>
        </w:trPr>
        <w:tc>
          <w:tcPr>
            <w:tcW w:type="dxa" w:w="3465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Couche</w:t>
            </w:r>
          </w:p>
        </w:tc>
        <w:tc>
          <w:tcPr>
            <w:tcW w:type="dxa" w:w="5890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Choix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b w:val="0"/>
                <w:sz w:val="17"/>
              </w:rPr>
              <w:t>Back-end</w:t>
            </w:r>
          </w:p>
        </w:tc>
        <w:tc>
          <w:tcPr>
            <w:tcW w:type="dxa" w:w="5890"/>
          </w:tcPr>
          <w:p>
            <w:pPr>
              <w:spacing w:after="0"/>
            </w:pPr>
            <w:r>
              <w:rPr>
                <w:b w:val="0"/>
                <w:sz w:val="17"/>
              </w:rPr>
              <w:t>Spring Boot 3, Java 21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b w:val="0"/>
                <w:sz w:val="17"/>
              </w:rPr>
              <w:t>Front-end</w:t>
            </w:r>
          </w:p>
        </w:tc>
        <w:tc>
          <w:tcPr>
            <w:tcW w:type="dxa" w:w="5890"/>
          </w:tcPr>
          <w:p>
            <w:pPr>
              <w:spacing w:after="0"/>
            </w:pPr>
            <w:r>
              <w:rPr>
                <w:b w:val="0"/>
                <w:sz w:val="17"/>
              </w:rPr>
              <w:t>React 18, TypeScript, Vite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b w:val="0"/>
                <w:sz w:val="17"/>
              </w:rPr>
              <w:t>Base de données</w:t>
            </w:r>
          </w:p>
        </w:tc>
        <w:tc>
          <w:tcPr>
            <w:tcW w:type="dxa" w:w="5890"/>
          </w:tcPr>
          <w:p>
            <w:pPr>
              <w:spacing w:after="0"/>
            </w:pPr>
            <w:r>
              <w:rPr>
                <w:b w:val="0"/>
                <w:sz w:val="17"/>
              </w:rPr>
              <w:t>PostgreSQL 16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b w:val="0"/>
                <w:sz w:val="17"/>
              </w:rPr>
              <w:t>Authentification</w:t>
            </w:r>
          </w:p>
        </w:tc>
        <w:tc>
          <w:tcPr>
            <w:tcW w:type="dxa" w:w="5890"/>
          </w:tcPr>
          <w:p>
            <w:pPr>
              <w:spacing w:after="0"/>
            </w:pPr>
            <w:r>
              <w:rPr>
                <w:b w:val="0"/>
                <w:sz w:val="17"/>
              </w:rPr>
              <w:t>Keycloak (OIDC)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b w:val="0"/>
                <w:sz w:val="17"/>
              </w:rPr>
              <w:t>Messagerie</w:t>
            </w:r>
          </w:p>
        </w:tc>
        <w:tc>
          <w:tcPr>
            <w:tcW w:type="dxa" w:w="5890"/>
          </w:tcPr>
          <w:p>
            <w:pPr>
              <w:spacing w:after="0"/>
            </w:pPr>
            <w:r>
              <w:rPr>
                <w:b w:val="0"/>
                <w:sz w:val="17"/>
              </w:rPr>
              <w:t>RabbitMQ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b w:val="0"/>
                <w:sz w:val="17"/>
              </w:rPr>
              <w:t>Déploiement</w:t>
            </w:r>
          </w:p>
        </w:tc>
        <w:tc>
          <w:tcPr>
            <w:tcW w:type="dxa" w:w="5890"/>
          </w:tcPr>
          <w:p>
            <w:pPr>
              <w:spacing w:after="0"/>
            </w:pPr>
            <w:r>
              <w:rPr>
                <w:b w:val="0"/>
                <w:sz w:val="17"/>
              </w:rPr>
              <w:t>Docker, Kubernetes, GitHub Actions</w:t>
            </w:r>
          </w:p>
        </w:tc>
      </w:tr>
    </w:tbl>
    <w:p/>
    <w:p>
      <w:pPr>
        <w:pStyle w:val="Heading1"/>
      </w:pPr>
      <w:r>
        <w:rPr>
          <w:b w:val="0"/>
        </w:rPr>
        <w:t>6. Diagrammes UML</w:t>
      </w:r>
    </w:p>
    <w:p>
      <w:r>
        <w:rPr>
          <w:b w:val="0"/>
        </w:rPr>
        <w:t xml:space="preserve">Les diagrammes ci-dessous sont générés par </w:t>
      </w:r>
      <w:r>
        <w:rPr>
          <w:rFonts w:ascii="Consolas" w:hAnsi="Consolas" w:eastAsia="Consolas"/>
          <w:b w:val="0"/>
          <w:color w:val="333366"/>
        </w:rPr>
        <w:t>diagrammes/_source/build_diagrams.py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68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s-utilisation-glob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68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1E1E2E"/>
          <w:sz w:val="18"/>
        </w:rPr>
        <w:t>Diagramme 01 : Cas d'utilisation global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00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agramme-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1E1E2E"/>
          <w:sz w:val="18"/>
        </w:rPr>
        <w:t>Diagramme 02 : Diagramme de classes d'analyse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4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quence-prise-rd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4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1E1E2E"/>
          <w:sz w:val="18"/>
        </w:rPr>
        <w:t>Diagramme 03 : Séquence : prise de rendez-vous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77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tivite-prise-rd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7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1E1E2E"/>
          <w:sz w:val="18"/>
        </w:rPr>
        <w:t>Diagramme 04 : Activité : prise de rendez-vous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55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tats-rendez-vo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5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1E1E2E"/>
          <w:sz w:val="18"/>
        </w:rPr>
        <w:t>Diagramme 05 : États : rendez-vous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89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loi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1E1E2E"/>
          <w:sz w:val="18"/>
        </w:rPr>
        <w:t>Diagramme 06 : Déploiement</w:t>
      </w:r>
    </w:p>
    <w:p>
      <w:pPr>
        <w:pStyle w:val="Heading1"/>
      </w:pPr>
      <w:r>
        <w:rPr>
          <w:b w:val="0"/>
        </w:rPr>
        <w:t>7. Planning et livrables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5C7F7"/>
          <w:left w:val="single" w:sz="4" w:space="0" w:color="B5C7F7"/>
          <w:bottom w:val="single" w:sz="4" w:space="0" w:color="B5C7F7"/>
          <w:right w:val="single" w:sz="4" w:space="0" w:color="B5C7F7"/>
          <w:insideH w:val="single" w:sz="4" w:space="0" w:color="B5C7F7"/>
          <w:insideV w:val="single" w:sz="4" w:space="0" w:color="B5C7F7"/>
        </w:tblBorders>
        <w:tblLayout w:type="fixed"/>
      </w:tblPr>
      <w:tblGrid>
        <w:gridCol w:w="1449"/>
        <w:gridCol w:w="1581"/>
        <w:gridCol w:w="6324"/>
      </w:tblGrid>
      <w:tr>
        <w:trPr>
          <w:tblHeader w:val="true"/>
        </w:trPr>
        <w:tc>
          <w:tcPr>
            <w:tcW w:type="dxa" w:w="1449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Release</w:t>
            </w:r>
          </w:p>
        </w:tc>
        <w:tc>
          <w:tcPr>
            <w:tcW w:type="dxa" w:w="1581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Semaines</w:t>
            </w:r>
          </w:p>
        </w:tc>
        <w:tc>
          <w:tcPr>
            <w:tcW w:type="dxa" w:w="6324"/>
            <w:shd w:val="clear" w:color="auto" w:fill="EAEDF7"/>
          </w:tcPr>
          <w:p>
            <w:pPr>
              <w:spacing w:after="0"/>
            </w:pPr>
            <w:r>
              <w:rPr>
                <w:b/>
                <w:sz w:val="17"/>
              </w:rPr>
              <w:t>Contenu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sz w:val="17"/>
              </w:rPr>
              <w:t>Sprint 0</w:t>
            </w:r>
          </w:p>
        </w:tc>
        <w:tc>
          <w:tcPr>
            <w:tcW w:type="dxa" w:w="1581"/>
          </w:tcPr>
          <w:p>
            <w:pPr>
              <w:spacing w:after="0"/>
            </w:pPr>
            <w:r>
              <w:rPr>
                <w:b w:val="0"/>
                <w:sz w:val="17"/>
              </w:rPr>
              <w:t>1–2</w:t>
            </w:r>
          </w:p>
        </w:tc>
        <w:tc>
          <w:tcPr>
            <w:tcW w:type="dxa" w:w="6324"/>
          </w:tcPr>
          <w:p>
            <w:pPr>
              <w:spacing w:after="0"/>
            </w:pPr>
            <w:r>
              <w:rPr>
                <w:b w:val="0"/>
                <w:sz w:val="17"/>
              </w:rPr>
              <w:t>Étude, état de l'art, cahier des charges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sz w:val="17"/>
              </w:rPr>
              <w:t>Release 1</w:t>
            </w:r>
          </w:p>
        </w:tc>
        <w:tc>
          <w:tcPr>
            <w:tcW w:type="dxa" w:w="1581"/>
          </w:tcPr>
          <w:p>
            <w:pPr>
              <w:spacing w:after="0"/>
            </w:pPr>
            <w:r>
              <w:rPr>
                <w:b w:val="0"/>
                <w:sz w:val="17"/>
              </w:rPr>
              <w:t>3–10</w:t>
            </w:r>
          </w:p>
        </w:tc>
        <w:tc>
          <w:tcPr>
            <w:tcW w:type="dxa" w:w="6324"/>
          </w:tcPr>
          <w:p>
            <w:pPr>
              <w:spacing w:after="0"/>
            </w:pPr>
            <w:r>
              <w:rPr>
                <w:b w:val="0"/>
                <w:sz w:val="17"/>
              </w:rPr>
              <w:t>Authentification, cliniques, praticiens, agendas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sz w:val="17"/>
              </w:rPr>
              <w:t>Release 2</w:t>
            </w:r>
          </w:p>
        </w:tc>
        <w:tc>
          <w:tcPr>
            <w:tcW w:type="dxa" w:w="1581"/>
          </w:tcPr>
          <w:p>
            <w:pPr>
              <w:spacing w:after="0"/>
            </w:pPr>
            <w:r>
              <w:rPr>
                <w:b w:val="0"/>
                <w:sz w:val="17"/>
              </w:rPr>
              <w:t>11–18</w:t>
            </w:r>
          </w:p>
        </w:tc>
        <w:tc>
          <w:tcPr>
            <w:tcW w:type="dxa" w:w="6324"/>
          </w:tcPr>
          <w:p>
            <w:pPr>
              <w:spacing w:after="0"/>
            </w:pPr>
            <w:r>
              <w:rPr>
                <w:b w:val="0"/>
                <w:sz w:val="17"/>
              </w:rPr>
              <w:t>Réservation, rappels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sz w:val="17"/>
              </w:rPr>
              <w:t>Release 3</w:t>
            </w:r>
          </w:p>
        </w:tc>
        <w:tc>
          <w:tcPr>
            <w:tcW w:type="dxa" w:w="1581"/>
          </w:tcPr>
          <w:p>
            <w:pPr>
              <w:spacing w:after="0"/>
            </w:pPr>
            <w:r>
              <w:rPr>
                <w:b w:val="0"/>
                <w:sz w:val="17"/>
              </w:rPr>
              <w:t>19–24</w:t>
            </w:r>
          </w:p>
        </w:tc>
        <w:tc>
          <w:tcPr>
            <w:tcW w:type="dxa" w:w="6324"/>
          </w:tcPr>
          <w:p>
            <w:pPr>
              <w:spacing w:after="0"/>
            </w:pPr>
            <w:r>
              <w:rPr>
                <w:b w:val="0"/>
                <w:sz w:val="17"/>
              </w:rPr>
              <w:t>Tableau de bord, abonnements, Kubernetes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sz w:val="17"/>
              </w:rPr>
              <w:t>Clôture</w:t>
            </w:r>
          </w:p>
        </w:tc>
        <w:tc>
          <w:tcPr>
            <w:tcW w:type="dxa" w:w="1581"/>
          </w:tcPr>
          <w:p>
            <w:pPr>
              <w:spacing w:after="0"/>
            </w:pPr>
            <w:r>
              <w:rPr>
                <w:b w:val="0"/>
                <w:sz w:val="17"/>
              </w:rPr>
              <w:t>25–26</w:t>
            </w:r>
          </w:p>
        </w:tc>
        <w:tc>
          <w:tcPr>
            <w:tcW w:type="dxa" w:w="6324"/>
          </w:tcPr>
          <w:p>
            <w:pPr>
              <w:spacing w:after="0"/>
            </w:pPr>
            <w:r>
              <w:rPr>
                <w:b w:val="0"/>
                <w:sz w:val="17"/>
              </w:rPr>
              <w:t>Recette, rapport, soutenance</w:t>
            </w:r>
          </w:p>
        </w:tc>
      </w:tr>
    </w:tbl>
    <w:p/>
    <w:p>
      <w:pPr>
        <w:pStyle w:val="Heading2"/>
      </w:pPr>
      <w:r>
        <w:rPr>
          <w:b w:val="0"/>
        </w:rPr>
        <w:t>Critères d'acceptation</w:t>
      </w:r>
    </w:p>
    <w:p>
      <w:pPr>
        <w:pStyle w:val="ListBullet"/>
      </w:pPr>
      <w:r>
        <w:rPr>
          <w:b w:val="0"/>
        </w:rPr>
        <w:t>☐ Toutes les exigences « Must » sont livrées et testées.</w:t>
      </w:r>
    </w:p>
    <w:p>
      <w:pPr>
        <w:pStyle w:val="ListBullet"/>
      </w:pPr>
      <w:r>
        <w:rPr>
          <w:b w:val="0"/>
        </w:rPr>
        <w:t>☐ Couverture de tests du back-end supérieure ou égale à 80 %.</w:t>
      </w:r>
    </w:p>
    <w:p>
      <w:pPr>
        <w:pStyle w:val="ListBullet"/>
      </w:pPr>
      <w:r>
        <w:rPr>
          <w:b w:val="0"/>
        </w:rPr>
        <w:t>☐ Aucune vulnérabilité critique détectée par Trivy.</w:t>
      </w:r>
    </w:p>
    <w:p>
      <w:pPr>
        <w:pStyle w:val="ListBullet"/>
      </w:pPr>
      <w:r>
        <w:rPr>
          <w:b w:val="0"/>
        </w:rPr>
        <w:t>☐ Démonstration validée par l'encadrant entreprise.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color w:val="808080"/>
        <w:sz w:val="16"/>
      </w:rPr>
      <w:t xml:space="preserve">PFE ESPRIT 2026-2027 · Nova Solutions ·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color w:val="808080"/>
        <w:sz w:val="16"/>
      </w:rPr>
      <w:t>MediBook · Cahier des charges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F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E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1E1E2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: MediBook</dc:title>
  <dc:subject/>
  <dc:creator>Prénom NOM</dc:creator>
  <cp:keywords/>
  <dc:description>generated by python-docx</dc:description>
  <cp:lastModifiedBy>Prénom NOM</cp:lastModifiedBy>
  <cp:revision>1</cp:revision>
  <dcterms:created xsi:type="dcterms:W3CDTF">2013-12-23T23:15:00Z</dcterms:created>
  <dcterms:modified xsi:type="dcterms:W3CDTF">2013-12-23T23:15:00Z</dcterms:modified>
  <cp:category/>
</cp:coreProperties>
</file>