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Bottleneck</w:t>
      </w:r>
      <w:r>
        <w:t xml:space="preserve"> </w:t>
      </w:r>
      <w:r>
        <w:t xml:space="preserve">—</w:t>
      </w:r>
      <w:r>
        <w:t xml:space="preserve"> </w:t>
      </w:r>
      <w:r>
        <w:t xml:space="preserve">Livrable</w:t>
      </w:r>
      <w:r>
        <w:t xml:space="preserve"> </w:t>
      </w:r>
      <w:r>
        <w:t xml:space="preserve">2</w:t>
      </w:r>
      <w:r>
        <w:t xml:space="preserve"> </w:t>
      </w:r>
      <w:r>
        <w:t xml:space="preserve">:</w:t>
      </w:r>
      <w:r>
        <w:t xml:space="preserve"> </w:t>
      </w:r>
      <w:r>
        <w:t xml:space="preserve">Besoin</w:t>
      </w:r>
      <w:r>
        <w:t xml:space="preserve"> </w:t>
      </w:r>
      <w:r>
        <w:t xml:space="preserve">métier</w:t>
      </w:r>
      <w:r>
        <w:t xml:space="preserve"> </w:t>
      </w:r>
      <w:r>
        <w:t xml:space="preserve">et</w:t>
      </w:r>
      <w:r>
        <w:t xml:space="preserve"> </w:t>
      </w:r>
      <w:r>
        <w:t xml:space="preserve">cahier</w:t>
      </w:r>
      <w:r>
        <w:t xml:space="preserve"> </w:t>
      </w:r>
      <w:r>
        <w:t xml:space="preserve">des</w:t>
      </w:r>
      <w:r>
        <w:t xml:space="preserve"> </w:t>
      </w:r>
      <w:r>
        <w:t xml:space="preserve">charges</w:t>
      </w:r>
      <w:r>
        <w:t xml:space="preserve"> </w:t>
      </w:r>
      <w:r>
        <w:t xml:space="preserve">fonctionnel</w:t>
      </w:r>
    </w:p>
    <w:p>
      <w:pPr>
        <w:pStyle w:val="Subtitle"/>
      </w:pPr>
      <w:r>
        <w:t xml:space="preserve">Amélioration</w:t>
      </w:r>
      <w:r>
        <w:t xml:space="preserve"> </w:t>
      </w:r>
      <w:r>
        <w:t xml:space="preserve">du</w:t>
      </w:r>
      <w:r>
        <w:t xml:space="preserve"> </w:t>
      </w:r>
      <w:r>
        <w:t xml:space="preserve">livrable</w:t>
      </w:r>
      <w:r>
        <w:t xml:space="preserve"> </w:t>
      </w:r>
      <w:r>
        <w:t xml:space="preserve">Projet</w:t>
      </w:r>
      <w:r>
        <w:t xml:space="preserve"> </w:t>
      </w:r>
      <w:r>
        <w:t xml:space="preserve">6</w:t>
      </w:r>
      <w:r>
        <w:t xml:space="preserve"> </w:t>
      </w:r>
      <w:r>
        <w:t xml:space="preserve">augmentée</w:t>
      </w:r>
      <w:r>
        <w:t xml:space="preserve"> </w:t>
      </w:r>
      <w:r>
        <w:t xml:space="preserve">par</w:t>
      </w:r>
      <w:r>
        <w:t xml:space="preserve"> </w:t>
      </w:r>
      <w:r>
        <w:t xml:space="preserve">l’IA</w:t>
      </w:r>
    </w:p>
    <w:p>
      <w:pPr>
        <w:pStyle w:val="Author"/>
      </w:pPr>
      <w:r>
        <w:t xml:space="preserve">Zied</w:t>
      </w:r>
      <w:r>
        <w:t xml:space="preserve"> </w:t>
      </w:r>
      <w:r>
        <w:t xml:space="preserve">Belhocine</w:t>
      </w:r>
    </w:p>
    <w:p>
      <w:pPr>
        <w:pStyle w:val="Date"/>
      </w:pPr>
      <w:r>
        <w:t xml:space="preserve">Version</w:t>
      </w:r>
      <w:r>
        <w:t xml:space="preserve"> </w:t>
      </w:r>
      <w:r>
        <w:t xml:space="preserve">du</w:t>
      </w:r>
      <w:r>
        <w:t xml:space="preserve"> </w:t>
      </w:r>
      <w:r>
        <w:t xml:space="preserve">04/08/2026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ntexte-et-parties-prenantes"/>
    <w:p>
      <w:pPr>
        <w:pStyle w:val="Heading2"/>
      </w:pPr>
      <w:r>
        <w:t xml:space="preserve">1. Contexte et parties prenantes</w:t>
      </w:r>
    </w:p>
    <w:p>
      <w:pPr>
        <w:pStyle w:val="FirstParagraph"/>
      </w:pPr>
      <w:r>
        <w:rPr>
          <w:bCs/>
          <w:b/>
        </w:rPr>
        <w:t xml:space="preserve">Contexte</w:t>
      </w:r>
      <w:r>
        <w:t xml:space="preserve"> </w:t>
      </w:r>
      <w:r>
        <w:t xml:space="preserve">: la mission initiale (Projet 6) a été commanditée par Nicolas, responsable des ventes chez Bottleneck, un marchand de vin, dans un contexte où les outils d’analyse sont artisanaux et la gestion des stocks difficile à piloter. Les données croisent trois sources hétérogènes (extraction ERP, extraction du site web, table de liaison), avec des identifiants produits non alignés entre systèmes.</w:t>
      </w:r>
    </w:p>
    <w:p>
      <w:pPr>
        <w:pStyle w:val="BodyText"/>
      </w:pPr>
      <w:r>
        <w:rPr>
          <w:bCs/>
          <w:b/>
        </w:rPr>
        <w:t xml:space="preserve">Qui utilise l’analyse, pour décider quoi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Partie prenante</w:t>
            </w:r>
          </w:p>
        </w:tc>
        <w:tc>
          <w:tcPr/>
          <w:p>
            <w:pPr>
              <w:pStyle w:val="Compact"/>
              <w:jc w:val="left"/>
            </w:pPr>
            <w:r>
              <w:t xml:space="preserve">Rôle</w:t>
            </w:r>
          </w:p>
        </w:tc>
        <w:tc>
          <w:tcPr/>
          <w:p>
            <w:pPr>
              <w:pStyle w:val="Compact"/>
              <w:jc w:val="left"/>
            </w:pPr>
            <w:r>
              <w:t xml:space="preserve">Décision ou usage attendu de l’analyse</w:t>
            </w:r>
          </w:p>
        </w:tc>
      </w:tr>
      <w:tr>
        <w:tc>
          <w:tcPr/>
          <w:p>
            <w:pPr>
              <w:pStyle w:val="Compact"/>
              <w:jc w:val="left"/>
            </w:pPr>
            <w:r>
              <w:t xml:space="preserve">Nicolas (responsable des ventes)</w:t>
            </w:r>
          </w:p>
        </w:tc>
        <w:tc>
          <w:tcPr/>
          <w:p>
            <w:pPr>
              <w:pStyle w:val="Compact"/>
              <w:jc w:val="left"/>
            </w:pPr>
            <w:r>
              <w:t xml:space="preserve">Commanditaire, destinataire direct</w:t>
            </w:r>
          </w:p>
        </w:tc>
        <w:tc>
          <w:tcPr/>
          <w:p>
            <w:pPr>
              <w:pStyle w:val="Compact"/>
              <w:jc w:val="left"/>
            </w:pPr>
            <w:r>
              <w:t xml:space="preserve">Identifier les erreurs de données à corriger dans les systèmes ; disposer d’une base fiable pour ses propres décisions de vente</w:t>
            </w:r>
          </w:p>
        </w:tc>
      </w:tr>
      <w:tr>
        <w:tc>
          <w:tcPr/>
          <w:p>
            <w:pPr>
              <w:pStyle w:val="Compact"/>
              <w:jc w:val="left"/>
            </w:pPr>
            <w:r>
              <w:t xml:space="preserve">Comité de direction (CODIR)</w:t>
            </w:r>
          </w:p>
        </w:tc>
        <w:tc>
          <w:tcPr/>
          <w:p>
            <w:pPr>
              <w:pStyle w:val="Compact"/>
              <w:jc w:val="left"/>
            </w:pPr>
            <w:r>
              <w:t xml:space="preserve">Destinataire final de la restitution</w:t>
            </w:r>
          </w:p>
        </w:tc>
        <w:tc>
          <w:tcPr/>
          <w:p>
            <w:pPr>
              <w:pStyle w:val="Compact"/>
              <w:jc w:val="left"/>
            </w:pPr>
            <w:r>
              <w:t xml:space="preserve">Décisions de pilotage business : arbitrages sur les catégories de produits, les niveaux de marge, la stratégie de stock</w:t>
            </w:r>
          </w:p>
        </w:tc>
      </w:tr>
      <w:tr>
        <w:tc>
          <w:tcPr/>
          <w:p>
            <w:pPr>
              <w:pStyle w:val="Compact"/>
              <w:jc w:val="left"/>
            </w:pPr>
            <w:r>
              <w:t xml:space="preserve">Équipes opérationnelles Bottleneck</w:t>
            </w:r>
          </w:p>
        </w:tc>
        <w:tc>
          <w:tcPr/>
          <w:p>
            <w:pPr>
              <w:pStyle w:val="Compact"/>
              <w:jc w:val="left"/>
            </w:pPr>
            <w:r>
              <w:t xml:space="preserve">Utilisatrices futures des outils issus du projet</w:t>
            </w:r>
          </w:p>
        </w:tc>
        <w:tc>
          <w:tcPr/>
          <w:p>
            <w:pPr>
              <w:pStyle w:val="Compact"/>
              <w:jc w:val="left"/>
            </w:pPr>
            <w:r>
              <w:t xml:space="preserve">Consultation autonome des indicateurs (top/flop, rotation de stock) pour ajuster le réassort au quotidien</w:t>
            </w:r>
          </w:p>
        </w:tc>
      </w:tr>
      <w:tr>
        <w:tc>
          <w:tcPr/>
          <w:p>
            <w:pPr>
              <w:pStyle w:val="Compact"/>
              <w:jc w:val="left"/>
            </w:pPr>
            <w:r>
              <w:t xml:space="preserve">Auteur du projet (analyste)</w:t>
            </w:r>
          </w:p>
        </w:tc>
        <w:tc>
          <w:tcPr/>
          <w:p>
            <w:pPr>
              <w:pStyle w:val="Compact"/>
              <w:jc w:val="left"/>
            </w:pPr>
            <w:r>
              <w:t xml:space="preserve">Réalisation, arbitrage technique et méthodologique</w:t>
            </w:r>
          </w:p>
        </w:tc>
        <w:tc>
          <w:tcPr/>
          <w:p>
            <w:pPr>
              <w:pStyle w:val="Compact"/>
              <w:jc w:val="left"/>
            </w:pPr>
            <w:r>
              <w:t xml:space="preserve">Production d’un livrable démontrant une démarche critique, documentée et orientée valeur métier</w:t>
            </w:r>
          </w:p>
        </w:tc>
      </w:tr>
    </w:tbl>
    <w:p>
      <w:r>
        <w:pict>
          <v:rect style="width:0;height:1.5pt" o:hralign="center" o:hrstd="t" o:hr="t"/>
        </w:pict>
      </w:r>
    </w:p>
    <w:bookmarkEnd w:id="20"/>
    <w:bookmarkStart w:id="21" w:name="problématique-métier-reformulée"/>
    <w:p>
      <w:pPr>
        <w:pStyle w:val="Heading2"/>
      </w:pPr>
      <w:r>
        <w:t xml:space="preserve">2. Problématique métier reformulée</w:t>
      </w:r>
    </w:p>
    <w:p>
      <w:pPr>
        <w:pStyle w:val="FirstParagraph"/>
      </w:pPr>
      <w:r>
        <w:t xml:space="preserve">Bottleneck a besoin de</w:t>
      </w:r>
      <w:r>
        <w:t xml:space="preserve"> </w:t>
      </w:r>
      <w:r>
        <w:rPr>
          <w:bCs/>
          <w:b/>
        </w:rPr>
        <w:t xml:space="preserve">fiabiliser et consolider</w:t>
      </w:r>
      <w:r>
        <w:t xml:space="preserve"> </w:t>
      </w:r>
      <w:r>
        <w:t xml:space="preserve">ses données de stock et de vente, actuellement dispersées entre un ERP interne et une extraction du site web dont les identifiants produits ne correspondent pas nativement, afin de produire une</w:t>
      </w:r>
      <w:r>
        <w:t xml:space="preserve"> </w:t>
      </w:r>
      <w:r>
        <w:rPr>
          <w:bCs/>
          <w:b/>
        </w:rPr>
        <w:t xml:space="preserve">analyse fiable et exploitable</w:t>
      </w:r>
      <w:r>
        <w:t xml:space="preserve"> </w:t>
      </w:r>
      <w:r>
        <w:t xml:space="preserve">de sa performance commerciale (chiffre d’affaires, marges, rotation des stocks) et d’orienter ses décisions opérationnelles de réassort, d’arrêt de références et d’ajustement des prix.</w:t>
      </w:r>
    </w:p>
    <w:p>
      <w:pPr>
        <w:pStyle w:val="BodyText"/>
      </w:pPr>
      <w:r>
        <w:t xml:space="preserve">Cette problématique découle directement de la demande initiale du commanditaire : rapprocher les sources de données, identifier les erreurs qu’elles contiennent, et proposer des solutions concrètes pour fiabiliser les systèmes de Bottleneck à l’avenir — pas seulement produire une analyse ponctuelle.</w:t>
      </w:r>
    </w:p>
    <w:p>
      <w:r>
        <w:pict>
          <v:rect style="width:0;height:1.5pt" o:hralign="center" o:hrstd="t" o:hr="t"/>
        </w:pict>
      </w:r>
    </w:p>
    <w:bookmarkEnd w:id="21"/>
    <w:bookmarkStart w:id="24" w:name="périmètre"/>
    <w:p>
      <w:pPr>
        <w:pStyle w:val="Heading2"/>
      </w:pPr>
      <w:r>
        <w:t xml:space="preserve">3. Périmètre</w:t>
      </w:r>
    </w:p>
    <w:bookmarkStart w:id="22" w:name="ce-qui-est-traité"/>
    <w:p>
      <w:pPr>
        <w:pStyle w:val="Heading3"/>
      </w:pPr>
      <w:r>
        <w:t xml:space="preserve">3.1 Ce qui est traité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Périmètre couvert</w:t>
            </w:r>
          </w:p>
        </w:tc>
      </w:tr>
      <w:tr>
        <w:tc>
          <w:tcPr/>
          <w:p>
            <w:pPr>
              <w:pStyle w:val="Compact"/>
              <w:jc w:val="left"/>
            </w:pPr>
            <w:r>
              <w:t xml:space="preserve">Données</w:t>
            </w:r>
          </w:p>
        </w:tc>
        <w:tc>
          <w:tcPr/>
          <w:p>
            <w:pPr>
              <w:pStyle w:val="Compact"/>
              <w:jc w:val="left"/>
            </w:pPr>
            <w:r>
              <w:t xml:space="preserve">Extraction ERP (référence produit, prix, état du stock), extraction du site web (SKU, quantités vendues, description produit), table de liaison entre les deux systèmes</w:t>
            </w:r>
          </w:p>
        </w:tc>
      </w:tr>
      <w:tr>
        <w:tc>
          <w:tcPr/>
          <w:p>
            <w:pPr>
              <w:pStyle w:val="Compact"/>
              <w:jc w:val="left"/>
            </w:pPr>
            <w:r>
              <w:t xml:space="preserve">Populations</w:t>
            </w:r>
          </w:p>
        </w:tc>
        <w:tc>
          <w:tcPr/>
          <w:p>
            <w:pPr>
              <w:pStyle w:val="Compact"/>
              <w:jc w:val="left"/>
            </w:pPr>
            <w:r>
              <w:t xml:space="preserve">L’ensemble des références produits présentes simultanément dans les 3 sources après rapprochement (les références non appariées sont exclues et journalisées, cf. section 4)</w:t>
            </w:r>
          </w:p>
        </w:tc>
      </w:tr>
      <w:tr>
        <w:tc>
          <w:tcPr/>
          <w:p>
            <w:pPr>
              <w:pStyle w:val="Compact"/>
              <w:jc w:val="left"/>
            </w:pPr>
            <w:r>
              <w:t xml:space="preserve">Période</w:t>
            </w:r>
          </w:p>
        </w:tc>
        <w:tc>
          <w:tcPr/>
          <w:p>
            <w:pPr>
              <w:pStyle w:val="Compact"/>
              <w:jc w:val="left"/>
            </w:pPr>
            <w:r>
              <w:t xml:space="preserve">Extraction au 31 octobre ; ventes portant sur la période du 1er au 31 octobre — un instantané mensuel unique</w:t>
            </w:r>
          </w:p>
        </w:tc>
      </w:tr>
      <w:tr>
        <w:tc>
          <w:tcPr/>
          <w:p>
            <w:pPr>
              <w:pStyle w:val="Compact"/>
              <w:jc w:val="left"/>
            </w:pPr>
            <w:r>
              <w:t xml:space="preserve">Cas d’usage</w:t>
            </w:r>
          </w:p>
        </w:tc>
        <w:tc>
          <w:tcPr/>
          <w:p>
            <w:pPr>
              <w:pStyle w:val="Compact"/>
              <w:jc w:val="left"/>
            </w:pPr>
            <w:r>
              <w:t xml:space="preserve">Calcul du chiffre d’affaires (par produit et global), analyse Pareto (20/80), détection de valeurs aberrantes de prix, analyse des marges et de la rotation de stock, corrélations entre variables quantitatives, restitution visuelle interactive pour un usage non technique</w:t>
            </w:r>
          </w:p>
        </w:tc>
      </w:tr>
    </w:tbl>
    <w:bookmarkEnd w:id="22"/>
    <w:bookmarkStart w:id="23" w:name="ce-qui-nest-pas-traité"/>
    <w:p>
      <w:pPr>
        <w:pStyle w:val="Heading3"/>
      </w:pPr>
      <w:r>
        <w:t xml:space="preserve">3.2 Ce qui n’est pas traité</w:t>
      </w:r>
    </w:p>
    <w:p>
      <w:pPr>
        <w:numPr>
          <w:ilvl w:val="0"/>
          <w:numId w:val="1001"/>
        </w:numPr>
        <w:pStyle w:val="Compact"/>
      </w:pPr>
      <w:r>
        <w:rPr>
          <w:bCs/>
          <w:b/>
        </w:rPr>
        <w:t xml:space="preserve">Données clients</w:t>
      </w:r>
      <w:r>
        <w:t xml:space="preserve"> </w:t>
      </w:r>
      <w:r>
        <w:t xml:space="preserve">: aucune donnée personnelle (nom, email, historique d’achat individuel) n’est intégrée au périmètre — cf. section 4, volet RGPD.</w:t>
      </w:r>
    </w:p>
    <w:p>
      <w:pPr>
        <w:numPr>
          <w:ilvl w:val="0"/>
          <w:numId w:val="1001"/>
        </w:numPr>
        <w:pStyle w:val="Compact"/>
      </w:pPr>
      <w:r>
        <w:rPr>
          <w:bCs/>
          <w:b/>
        </w:rPr>
        <w:t xml:space="preserve">Séries temporelles multi-mois</w:t>
      </w:r>
      <w:r>
        <w:t xml:space="preserve"> </w:t>
      </w:r>
      <w:r>
        <w:t xml:space="preserve">: l’analyse porte sur un instantané au 31 octobre, pas sur une évolution dans le temps. Une extension à plusieurs mois nécessiterait une consolidation de plusieurs extractions successives, non couverte ici.</w:t>
      </w:r>
    </w:p>
    <w:p>
      <w:pPr>
        <w:numPr>
          <w:ilvl w:val="0"/>
          <w:numId w:val="1001"/>
        </w:numPr>
        <w:pStyle w:val="Compact"/>
      </w:pPr>
      <w:r>
        <w:rPr>
          <w:bCs/>
          <w:b/>
        </w:rPr>
        <w:t xml:space="preserve">Modélisation prédictive</w:t>
      </w:r>
      <w:r>
        <w:t xml:space="preserve"> </w:t>
      </w:r>
      <w:r>
        <w:t xml:space="preserve">: aucune prévision de demande ni recommandation automatisée de prix n’est produite à ce stade ; le projet reste descriptif et diagnostique.</w:t>
      </w:r>
    </w:p>
    <w:p>
      <w:pPr>
        <w:numPr>
          <w:ilvl w:val="0"/>
          <w:numId w:val="1001"/>
        </w:numPr>
        <w:pStyle w:val="Compact"/>
      </w:pPr>
      <w:r>
        <w:rPr>
          <w:bCs/>
          <w:b/>
        </w:rPr>
        <w:t xml:space="preserve">Données de marché externes</w:t>
      </w:r>
      <w:r>
        <w:t xml:space="preserve"> </w:t>
      </w:r>
      <w:r>
        <w:t xml:space="preserve">: pas de comparaison avec la concurrence ou de benchmark sectoriel.</w:t>
      </w:r>
    </w:p>
    <w:p>
      <w:pPr>
        <w:numPr>
          <w:ilvl w:val="0"/>
          <w:numId w:val="1001"/>
        </w:numPr>
        <w:pStyle w:val="Compact"/>
      </w:pPr>
      <w:r>
        <w:rPr>
          <w:bCs/>
          <w:b/>
        </w:rPr>
        <w:t xml:space="preserve">Déploiement en production</w:t>
      </w:r>
      <w:r>
        <w:t xml:space="preserve"> </w:t>
      </w:r>
      <w:r>
        <w:t xml:space="preserve">: les POC (dataviz interactive) restent des démonstrations techniques dans un notebook, pas des outils déployés pour un usage quotidien à grande échelle (cf. limite documentée sur Dash, livrable 1).</w:t>
      </w:r>
    </w:p>
    <w:p>
      <w:r>
        <w:pict>
          <v:rect style="width:0;height:1.5pt" o:hralign="center" o:hrstd="t" o:hr="t"/>
        </w:pict>
      </w:r>
    </w:p>
    <w:bookmarkEnd w:id="23"/>
    <w:bookmarkEnd w:id="24"/>
    <w:bookmarkStart w:id="25" w:name="contraintes"/>
    <w:p>
      <w:pPr>
        <w:pStyle w:val="Heading2"/>
      </w:pPr>
      <w:r>
        <w:t xml:space="preserve">4. Contraintes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 de contrainte</w:t>
            </w:r>
          </w:p>
        </w:tc>
        <w:tc>
          <w:tcPr/>
          <w:p>
            <w:pPr>
              <w:pStyle w:val="Compact"/>
              <w:jc w:val="left"/>
            </w:pPr>
            <w:r>
              <w:t xml:space="preserve">Détail</w:t>
            </w:r>
          </w:p>
        </w:tc>
      </w:tr>
      <w:tr>
        <w:tc>
          <w:tcPr/>
          <w:p>
            <w:pPr>
              <w:pStyle w:val="Compact"/>
              <w:jc w:val="left"/>
            </w:pPr>
            <w:r>
              <w:rPr>
                <w:bCs/>
                <w:b/>
              </w:rPr>
              <w:t xml:space="preserve">Données manquantes</w:t>
            </w:r>
          </w:p>
        </w:tc>
        <w:tc>
          <w:tcPr/>
          <w:p>
            <w:pPr>
              <w:pStyle w:val="Compact"/>
              <w:jc w:val="left"/>
            </w:pPr>
            <w:r>
              <w:t xml:space="preserve">Des</w:t>
            </w:r>
            <w:r>
              <w:t xml:space="preserve"> </w:t>
            </w:r>
            <w:r>
              <w:rPr>
                <w:rStyle w:val="VerbatimChar"/>
              </w:rPr>
              <w:t xml:space="preserve">sku</w:t>
            </w:r>
            <w:r>
              <w:t xml:space="preserve"> </w:t>
            </w:r>
            <w:r>
              <w:t xml:space="preserve">manquants côté extraction web ont été identifiés et exclus du périmètre analysé, avec journalisation systématique (script de consolidation)</w:t>
            </w:r>
          </w:p>
        </w:tc>
      </w:tr>
      <w:tr>
        <w:tc>
          <w:tcPr/>
          <w:p>
            <w:pPr>
              <w:pStyle w:val="Compact"/>
              <w:jc w:val="left"/>
            </w:pPr>
            <w:r>
              <w:rPr>
                <w:bCs/>
                <w:b/>
              </w:rPr>
              <w:t xml:space="preserve">Qualité des données</w:t>
            </w:r>
          </w:p>
        </w:tc>
        <w:tc>
          <w:tcPr/>
          <w:p>
            <w:pPr>
              <w:pStyle w:val="Compact"/>
              <w:jc w:val="left"/>
            </w:pPr>
            <w:r>
              <w:t xml:space="preserve">Absence de dictionnaire de données partagé entre l’ERP et le site web ; identifiants produits non alignés nativement, nécessitant une table de liaison tierce elle-même sujette à erreurs (doublons, clés orphelines)</w:t>
            </w:r>
          </w:p>
        </w:tc>
      </w:tr>
      <w:tr>
        <w:tc>
          <w:tcPr/>
          <w:p>
            <w:pPr>
              <w:pStyle w:val="Compact"/>
              <w:jc w:val="left"/>
            </w:pPr>
            <w:r>
              <w:rPr>
                <w:bCs/>
                <w:b/>
              </w:rPr>
              <w:t xml:space="preserve">RGPD</w:t>
            </w:r>
          </w:p>
        </w:tc>
        <w:tc>
          <w:tcPr/>
          <w:p>
            <w:pPr>
              <w:pStyle w:val="Compact"/>
              <w:jc w:val="left"/>
            </w:pPr>
            <w:r>
              <w:t xml:space="preserve">Le jeu de données ne contient</w:t>
            </w:r>
            <w:r>
              <w:t xml:space="preserve"> </w:t>
            </w:r>
            <w:r>
              <w:rPr>
                <w:bCs/>
                <w:b/>
              </w:rPr>
              <w:t xml:space="preserve">aucune donnée à caractère personnel</w:t>
            </w:r>
            <w:r>
              <w:t xml:space="preserve"> </w:t>
            </w:r>
            <w:r>
              <w:t xml:space="preserve">(uniquement des données produits, stocks et ventes agrégées) — le traitement ne relève donc pas du champ d’application du RGPD au sens strict. Ce point a été vérifié explicitement plutôt que supposé, conformément à la demande du commanditaire. Vigilance à prévoir si une évolution future intègre des données client individuelles (programme de fidélité, historique d’achat nominatif) : minimisation des données collectées, durée de conservation définie, base légale identifiée</w:t>
            </w:r>
          </w:p>
        </w:tc>
      </w:tr>
      <w:tr>
        <w:tc>
          <w:tcPr/>
          <w:p>
            <w:pPr>
              <w:pStyle w:val="Compact"/>
              <w:jc w:val="left"/>
            </w:pPr>
            <w:r>
              <w:rPr>
                <w:bCs/>
                <w:b/>
              </w:rPr>
              <w:t xml:space="preserve">Volumétrie</w:t>
            </w:r>
          </w:p>
        </w:tc>
        <w:tc>
          <w:tcPr/>
          <w:p>
            <w:pPr>
              <w:pStyle w:val="Compact"/>
              <w:jc w:val="left"/>
            </w:pPr>
            <w:r>
              <w:t xml:space="preserve">Fichiers mensuels de taille modeste (extraction unique au 31 octobre) ; aucune contrainte de performance identifiée à ce stade</w:t>
            </w:r>
          </w:p>
        </w:tc>
      </w:tr>
      <w:tr>
        <w:tc>
          <w:tcPr/>
          <w:p>
            <w:pPr>
              <w:pStyle w:val="Compact"/>
              <w:jc w:val="left"/>
            </w:pPr>
            <w:r>
              <w:rPr>
                <w:bCs/>
                <w:b/>
              </w:rPr>
              <w:t xml:space="preserve">Délais</w:t>
            </w:r>
          </w:p>
        </w:tc>
        <w:tc>
          <w:tcPr/>
          <w:p>
            <w:pPr>
              <w:pStyle w:val="Compact"/>
              <w:jc w:val="left"/>
            </w:pPr>
            <w:r>
              <w:t xml:space="preserve">Mission resserrée sur 2 semaines</w:t>
            </w:r>
          </w:p>
        </w:tc>
      </w:tr>
      <w:tr>
        <w:tc>
          <w:tcPr/>
          <w:p>
            <w:pPr>
              <w:pStyle w:val="Compact"/>
              <w:jc w:val="left"/>
            </w:pPr>
            <w:r>
              <w:rPr>
                <w:bCs/>
                <w:b/>
              </w:rPr>
              <w:t xml:space="preserve">Outillage</w:t>
            </w:r>
          </w:p>
        </w:tc>
        <w:tc>
          <w:tcPr/>
          <w:p>
            <w:pPr>
              <w:pStyle w:val="Compact"/>
              <w:jc w:val="left"/>
            </w:pPr>
            <w:r>
              <w:t xml:space="preserve">Environnement Python déjà en place (pandas, plotly, numpy) ; aucun outil imposé par ailleurs par le commanditaire</w:t>
            </w:r>
          </w:p>
        </w:tc>
      </w:tr>
    </w:tbl>
    <w:p>
      <w:r>
        <w:pict>
          <v:rect style="width:0;height:1.5pt" o:hralign="center" o:hrstd="t" o:hr="t"/>
        </w:pict>
      </w:r>
    </w:p>
    <w:bookmarkEnd w:id="25"/>
    <w:bookmarkStart w:id="30" w:name="critères-de-réussite-et-kpi"/>
    <w:p>
      <w:pPr>
        <w:pStyle w:val="Heading2"/>
      </w:pPr>
      <w:r>
        <w:t xml:space="preserve">5. Critères de réussite et KPI</w:t>
      </w:r>
    </w:p>
    <w:bookmarkStart w:id="26" w:name="data"/>
    <w:p>
      <w:pPr>
        <w:pStyle w:val="Heading3"/>
      </w:pPr>
      <w:r>
        <w:t xml:space="preserve">5.1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Cible / seuil</w:t>
            </w:r>
          </w:p>
        </w:tc>
      </w:tr>
      <w:tr>
        <w:tc>
          <w:tcPr/>
          <w:p>
            <w:pPr>
              <w:pStyle w:val="Compact"/>
              <w:jc w:val="left"/>
            </w:pPr>
            <w:r>
              <w:t xml:space="preserve">Taux d’anomalies détectées et journalisées (doublons,</w:t>
            </w:r>
            <w:r>
              <w:t xml:space="preserve"> </w:t>
            </w:r>
            <w:r>
              <w:rPr>
                <w:rStyle w:val="VerbatimChar"/>
              </w:rPr>
              <w:t xml:space="preserve">sku</w:t>
            </w:r>
            <w:r>
              <w:t xml:space="preserve"> </w:t>
            </w:r>
            <w:r>
              <w:t xml:space="preserve">manquants, clés non appariées)</w:t>
            </w:r>
          </w:p>
        </w:tc>
        <w:tc>
          <w:tcPr/>
          <w:p>
            <w:pPr>
              <w:pStyle w:val="Compact"/>
              <w:jc w:val="left"/>
            </w:pPr>
            <w:r>
              <w:t xml:space="preserve">100% des anomalies rencontrées consignées dans un rapport de consolidation, aucune correction silencieuse</w:t>
            </w:r>
          </w:p>
        </w:tc>
      </w:tr>
      <w:tr>
        <w:tc>
          <w:tcPr/>
          <w:p>
            <w:pPr>
              <w:pStyle w:val="Compact"/>
              <w:jc w:val="left"/>
            </w:pPr>
            <w:r>
              <w:t xml:space="preserve">Nombre d’erreurs de données identifiées dans le jeu initial</w:t>
            </w:r>
          </w:p>
        </w:tc>
        <w:tc>
          <w:tcPr/>
          <w:p>
            <w:pPr>
              <w:pStyle w:val="Compact"/>
              <w:jc w:val="left"/>
            </w:pPr>
            <w:r>
              <w:t xml:space="preserve">Au moins 8, conformément à l’attente explicite du commanditaire</w:t>
            </w:r>
          </w:p>
        </w:tc>
      </w:tr>
      <w:tr>
        <w:tc>
          <w:tcPr/>
          <w:p>
            <w:pPr>
              <w:pStyle w:val="Compact"/>
              <w:jc w:val="left"/>
            </w:pPr>
            <w:r>
              <w:t xml:space="preserve">Règle de qualité sur les valeurs impossibles</w:t>
            </w:r>
          </w:p>
        </w:tc>
        <w:tc>
          <w:tcPr/>
          <w:p>
            <w:pPr>
              <w:pStyle w:val="Compact"/>
              <w:jc w:val="left"/>
            </w:pPr>
            <w:r>
              <w:t xml:space="preserve">0 prix négatif conservé, 0 stock négatif non corrigé dans le jeu final</w:t>
            </w:r>
          </w:p>
        </w:tc>
      </w:tr>
    </w:tbl>
    <w:bookmarkEnd w:id="26"/>
    <w:bookmarkStart w:id="27" w:name="modèle-insights"/>
    <w:p>
      <w:pPr>
        <w:pStyle w:val="Heading3"/>
      </w:pPr>
      <w:r>
        <w:t xml:space="preserve">5.2 Modèle / insights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Cible / seuil</w:t>
            </w:r>
          </w:p>
        </w:tc>
      </w:tr>
      <w:tr>
        <w:tc>
          <w:tcPr/>
          <w:p>
            <w:pPr>
              <w:pStyle w:val="Compact"/>
              <w:jc w:val="left"/>
            </w:pPr>
            <w:r>
              <w:t xml:space="preserve">Fiabilité de la détection des valeurs aberrantes de prix</w:t>
            </w:r>
          </w:p>
        </w:tc>
        <w:tc>
          <w:tcPr/>
          <w:p>
            <w:pPr>
              <w:pStyle w:val="Compact"/>
              <w:jc w:val="left"/>
            </w:pPr>
            <w:r>
              <w:t xml:space="preserve">Méthode explicitée et justifiée (pas seulement appliquée par défaut), avec limites documentées</w:t>
            </w:r>
          </w:p>
        </w:tc>
      </w:tr>
      <w:tr>
        <w:tc>
          <w:tcPr/>
          <w:p>
            <w:pPr>
              <w:pStyle w:val="Compact"/>
              <w:jc w:val="left"/>
            </w:pPr>
            <w:r>
              <w:t xml:space="preserve">Interprétabilité pour un public non technique</w:t>
            </w:r>
          </w:p>
        </w:tc>
        <w:tc>
          <w:tcPr/>
          <w:p>
            <w:pPr>
              <w:pStyle w:val="Compact"/>
              <w:jc w:val="left"/>
            </w:pPr>
            <w:r>
              <w:t xml:space="preserve">Aucune restitution ne repose sur un vocabulaire statistique non expliqué (ex.</w:t>
            </w:r>
            <w:r>
              <w:t xml:space="preserve"> </w:t>
            </w:r>
            <w:r>
              <w:t xml:space="preserve">“</w:t>
            </w:r>
            <w:r>
              <w:t xml:space="preserve">z-score</w:t>
            </w:r>
            <w:r>
              <w:t xml:space="preserve">”</w:t>
            </w:r>
            <w:r>
              <w:t xml:space="preserve">,</w:t>
            </w:r>
            <w:r>
              <w:t xml:space="preserve"> </w:t>
            </w:r>
            <w:r>
              <w:t xml:space="preserve">“</w:t>
            </w:r>
            <w:r>
              <w:t xml:space="preserve">IQR</w:t>
            </w:r>
            <w:r>
              <w:t xml:space="preserve">”</w:t>
            </w:r>
            <w:r>
              <w:t xml:space="preserve">) sans reformulation accessible</w:t>
            </w:r>
          </w:p>
        </w:tc>
      </w:tr>
      <w:tr>
        <w:tc>
          <w:tcPr/>
          <w:p>
            <w:pPr>
              <w:pStyle w:val="Compact"/>
              <w:jc w:val="left"/>
            </w:pPr>
            <w:r>
              <w:t xml:space="preserve">Détection de corrélations quantitatives</w:t>
            </w:r>
          </w:p>
        </w:tc>
        <w:tc>
          <w:tcPr/>
          <w:p>
            <w:pPr>
              <w:pStyle w:val="Compact"/>
              <w:jc w:val="left"/>
            </w:pPr>
            <w:r>
              <w:t xml:space="preserve">Analyse de corrélation (prix, prix d’achat, stock, ventes, prix HT, taux de marge) produite et interprétée, pas seulement calculée</w:t>
            </w:r>
          </w:p>
        </w:tc>
      </w:tr>
    </w:tbl>
    <w:bookmarkEnd w:id="27"/>
    <w:bookmarkStart w:id="28" w:name="opérationnel"/>
    <w:p>
      <w:pPr>
        <w:pStyle w:val="Heading3"/>
      </w:pPr>
      <w:r>
        <w:t xml:space="preserve">5.3 Opérationnel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Cible / seuil</w:t>
            </w:r>
          </w:p>
        </w:tc>
      </w:tr>
      <w:tr>
        <w:tc>
          <w:tcPr/>
          <w:p>
            <w:pPr>
              <w:pStyle w:val="Compact"/>
              <w:jc w:val="left"/>
            </w:pPr>
            <w:r>
              <w:t xml:space="preserve">Temps d’exécution de la consolidation des données</w:t>
            </w:r>
          </w:p>
        </w:tc>
        <w:tc>
          <w:tcPr/>
          <w:p>
            <w:pPr>
              <w:pStyle w:val="Compact"/>
              <w:jc w:val="left"/>
            </w:pPr>
            <w:r>
              <w:t xml:space="preserve">Pipeline exécutable en une seule commande, sans intervention manuelle cellule par cellule</w:t>
            </w:r>
          </w:p>
        </w:tc>
      </w:tr>
      <w:tr>
        <w:tc>
          <w:tcPr/>
          <w:p>
            <w:pPr>
              <w:pStyle w:val="Compact"/>
              <w:jc w:val="left"/>
            </w:pPr>
            <w:r>
              <w:t xml:space="preserve">Reproductibilité sur un nouvel export mensuel</w:t>
            </w:r>
          </w:p>
        </w:tc>
        <w:tc>
          <w:tcPr/>
          <w:p>
            <w:pPr>
              <w:pStyle w:val="Compact"/>
              <w:jc w:val="left"/>
            </w:pPr>
            <w:r>
              <w:t xml:space="preserve">Script réutilisable sans modification de code (hors correction ad hoc explicitement documentée)</w:t>
            </w:r>
          </w:p>
        </w:tc>
      </w:tr>
      <w:tr>
        <w:tc>
          <w:tcPr/>
          <w:p>
            <w:pPr>
              <w:pStyle w:val="Compact"/>
              <w:jc w:val="left"/>
            </w:pPr>
            <w:r>
              <w:t xml:space="preserve">Clarté du rendu pour le CODIR</w:t>
            </w:r>
          </w:p>
        </w:tc>
        <w:tc>
          <w:tcPr/>
          <w:p>
            <w:pPr>
              <w:pStyle w:val="Compact"/>
              <w:jc w:val="left"/>
            </w:pPr>
            <w:r>
              <w:t xml:space="preserve">Restitution synthétique, alignée sur les préoccupations business (CA, marge, stock), sans détail technique superflu</w:t>
            </w:r>
          </w:p>
        </w:tc>
      </w:tr>
    </w:tbl>
    <w:bookmarkEnd w:id="28"/>
    <w:bookmarkStart w:id="29" w:name="mini-plan-de-formation"/>
    <w:p>
      <w:pPr>
        <w:pStyle w:val="Heading3"/>
      </w:pPr>
      <w:r>
        <w:t xml:space="preserve">5.4 Mini-plan de 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Public</w:t>
            </w:r>
          </w:p>
        </w:tc>
        <w:tc>
          <w:tcPr/>
          <w:p>
            <w:pPr>
              <w:pStyle w:val="Compact"/>
              <w:jc w:val="left"/>
            </w:pPr>
            <w:r>
              <w:t xml:space="preserve">Format</w:t>
            </w:r>
          </w:p>
        </w:tc>
        <w:tc>
          <w:tcPr/>
          <w:p>
            <w:pPr>
              <w:pStyle w:val="Compact"/>
              <w:jc w:val="left"/>
            </w:pPr>
            <w:r>
              <w:t xml:space="preserve">Contenu</w:t>
            </w:r>
          </w:p>
        </w:tc>
      </w:tr>
      <w:tr>
        <w:tc>
          <w:tcPr/>
          <w:p>
            <w:pPr>
              <w:pStyle w:val="Compact"/>
              <w:jc w:val="left"/>
            </w:pPr>
            <w:r>
              <w:t xml:space="preserve">Responsables de rayon</w:t>
            </w:r>
          </w:p>
        </w:tc>
        <w:tc>
          <w:tcPr/>
          <w:p>
            <w:pPr>
              <w:pStyle w:val="Compact"/>
              <w:jc w:val="left"/>
            </w:pPr>
            <w:r>
              <w:t xml:space="preserve">Fiche de lecture (1 page)</w:t>
            </w:r>
          </w:p>
        </w:tc>
        <w:tc>
          <w:tcPr/>
          <w:p>
            <w:pPr>
              <w:pStyle w:val="Compact"/>
              <w:jc w:val="left"/>
            </w:pPr>
            <w:r>
              <w:t xml:space="preserve">Explication en langage simple de 3-4 indicateurs clés (CA, marge, mois de stock), avec exemples chiffrés</w:t>
            </w:r>
          </w:p>
        </w:tc>
      </w:tr>
      <w:tr>
        <w:tc>
          <w:tcPr/>
          <w:p>
            <w:pPr>
              <w:pStyle w:val="Compact"/>
              <w:jc w:val="left"/>
            </w:pPr>
            <w:r>
              <w:t xml:space="preserve">Équipes commerciales</w:t>
            </w:r>
          </w:p>
        </w:tc>
        <w:tc>
          <w:tcPr/>
          <w:p>
            <w:pPr>
              <w:pStyle w:val="Compact"/>
              <w:jc w:val="left"/>
            </w:pPr>
            <w:r>
              <w:t xml:space="preserve">Session courte (30 min)</w:t>
            </w:r>
          </w:p>
        </w:tc>
        <w:tc>
          <w:tcPr/>
          <w:p>
            <w:pPr>
              <w:pStyle w:val="Compact"/>
              <w:jc w:val="left"/>
            </w:pPr>
            <w:r>
              <w:t xml:space="preserve">Démonstration du dashboard, questions/réponses, sans vocabulaire statistique</w:t>
            </w:r>
          </w:p>
        </w:tc>
      </w:tr>
      <w:tr>
        <w:tc>
          <w:tcPr/>
          <w:p>
            <w:pPr>
              <w:pStyle w:val="Compact"/>
              <w:jc w:val="left"/>
            </w:pPr>
            <w:r>
              <w:t xml:space="preserve">Direction / CODIR</w:t>
            </w:r>
          </w:p>
        </w:tc>
        <w:tc>
          <w:tcPr/>
          <w:p>
            <w:pPr>
              <w:pStyle w:val="Compact"/>
              <w:jc w:val="left"/>
            </w:pPr>
            <w:r>
              <w:t xml:space="preserve">Synthèse visuelle mensuelle</w:t>
            </w:r>
          </w:p>
        </w:tc>
        <w:tc>
          <w:tcPr/>
          <w:p>
            <w:pPr>
              <w:pStyle w:val="Compact"/>
              <w:jc w:val="left"/>
            </w:pPr>
            <w:r>
              <w:t xml:space="preserve">Export figé commenté en 3 points clés</w:t>
            </w:r>
          </w:p>
        </w:tc>
      </w:tr>
    </w:tbl>
    <w:p>
      <w:pPr>
        <w:pStyle w:val="BodyText"/>
      </w:pPr>
      <w:r>
        <w:rPr>
          <w:bCs/>
          <w:b/>
        </w:rPr>
        <w:t xml:space="preserve">Volet accessibilité intégré au plan de formation</w:t>
      </w:r>
      <w:r>
        <w:t xml:space="preserve"> </w:t>
      </w:r>
      <w:r>
        <w:t xml:space="preserve">: contrastes de couleurs suffisants sur les graphiques (évitement du rouge/vert seul comme code couleur — testé concrètement, cf. livrable 1 et 3), alternative textuelle sur les visuels diffusés, formulations sans jargon technique non expliqué. Ce point répond spécifiquement au besoin des collaborateurs en situation de handicap.</w:t>
      </w:r>
    </w:p>
    <w:p>
      <w:r>
        <w:pict>
          <v:rect style="width:0;height:1.5pt" o:hralign="center" o:hrstd="t" o:hr="t"/>
        </w:pict>
      </w:r>
    </w:p>
    <w:bookmarkEnd w:id="29"/>
    <w:bookmarkEnd w:id="30"/>
    <w:bookmarkStart w:id="31" w:name="X18c769eb56cff5f8d735d92a80367d94525f95d"/>
    <w:p>
      <w:pPr>
        <w:pStyle w:val="Heading2"/>
      </w:pPr>
      <w:r>
        <w:t xml:space="preserve">6. Synthèse — cahier des charges (format 1-2 pages)</w:t>
      </w:r>
    </w:p>
    <w:p>
      <w:pPr>
        <w:pStyle w:val="FirstParagraph"/>
      </w:pPr>
      <w:r>
        <w:rPr>
          <w:bCs/>
          <w:b/>
        </w:rPr>
        <w:t xml:space="preserve">Objectif du projet</w:t>
      </w:r>
      <w:r>
        <w:t xml:space="preserve"> </w:t>
      </w:r>
      <w:r>
        <w:t xml:space="preserve">: transformer une analyse technique ponctuelle (notebook Projet 6) en un livrable orienté valeur métier, mesurable et reproductible, pour Bottleneck.</w:t>
      </w:r>
    </w:p>
    <w:p>
      <w:pPr>
        <w:pStyle w:val="BodyText"/>
      </w:pPr>
      <w:r>
        <w:rPr>
          <w:bCs/>
          <w:b/>
        </w:rPr>
        <w:t xml:space="preserve">Livrables attendus</w:t>
      </w:r>
      <w:r>
        <w:t xml:space="preserve"> </w:t>
      </w:r>
      <w:r>
        <w:t xml:space="preserve">: rapport de consolidation des données avec journal d’anomalies, dashboard/graphiques interactifs pour la restitution CODIR, recommandations correctives sur la qualité des données sources, mini-plan de formation.</w:t>
      </w:r>
    </w:p>
    <w:p>
      <w:pPr>
        <w:pStyle w:val="BodyText"/>
      </w:pPr>
      <w:r>
        <w:rPr>
          <w:bCs/>
          <w:b/>
        </w:rPr>
        <w:t xml:space="preserve">Critères d’acceptation</w:t>
      </w:r>
      <w:r>
        <w:t xml:space="preserve"> </w:t>
      </w:r>
      <w:r>
        <w:t xml:space="preserve">:</w:t>
      </w:r>
      <w:r>
        <w:t xml:space="preserve"> </w:t>
      </w:r>
      <w:r>
        <w:t xml:space="preserve">1. Au moins 8 erreurs de données identifiées et documentées.</w:t>
      </w:r>
      <w:r>
        <w:t xml:space="preserve"> </w:t>
      </w:r>
      <w:r>
        <w:t xml:space="preserve">2. Script de consolidation exécutable en une commande, avec rapport d’anomalies systématique.</w:t>
      </w:r>
      <w:r>
        <w:t xml:space="preserve"> </w:t>
      </w:r>
      <w:r>
        <w:t xml:space="preserve">3. Au moins un graphique interactif validé par un test d’accessibilité réel (pas supposé).</w:t>
      </w:r>
      <w:r>
        <w:t xml:space="preserve"> </w:t>
      </w:r>
      <w:r>
        <w:t xml:space="preserve">4. Restitution CODIR sans jargon statistique non expliqué.</w:t>
      </w:r>
      <w:r>
        <w:t xml:space="preserve"> </w:t>
      </w:r>
      <w:r>
        <w:t xml:space="preserve">5. Conformité RGPD explicitement vérifiée (absence de données personnelles confirmée, pas supposée).</w:t>
      </w:r>
      <w:r>
        <w:t xml:space="preserve"> </w:t>
      </w:r>
      <w:r>
        <w:t xml:space="preserve">6. Traçabilité des essais IA documentée (cf. livrable 3).</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Bottleneck — Livrable 2 : Besoin métier et cahier des charges fonctionnel</dc:title>
  <dc:creator>Zied Belhocine</dc:creator>
  <dc:language>fr</dc:language>
  <cp:keywords/>
  <dcterms:created xsi:type="dcterms:W3CDTF">2026-08-03T18:52:43Z</dcterms:created>
  <dcterms:modified xsi:type="dcterms:W3CDTF">2026-08-03T18:52:43Z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du 04/08/2026</vt:lpwstr>
  </property>
  <property fmtid="{D5CDD505-2E9C-101B-9397-08002B2CF9AE}" pid="3" name="subtitle">
    <vt:lpwstr>Amélioration du livrable Projet 6 augmentée par l’IA</vt:lpwstr>
  </property>
</Properties>
</file>