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B47B62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B47B62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B47B6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B47B6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703555" w:rsidRDefault="00C437FD" w:rsidP="00703555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7F518A" w:rsidRDefault="00703555" w:rsidP="00703555">
      <w:pPr>
        <w:jc w:val="center"/>
        <w:rPr>
          <w:b/>
          <w:sz w:val="40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902305"/>
            <wp:effectExtent l="19050" t="0" r="2540" b="0"/>
            <wp:docPr id="4" name="Obraz 4" descr="http://puu.sh/gMfmh/e2c91fa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Mfmh/e2c91fa0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1D381D" w:rsidRDefault="005D53E5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B66862" w:rsidRPr="005D53E5" w:rsidRDefault="00B66862" w:rsidP="00B66862">
      <w:pPr>
        <w:jc w:val="center"/>
        <w:rPr>
          <w:b/>
          <w:sz w:val="40"/>
          <w:u w:val="single"/>
        </w:rPr>
      </w:pPr>
    </w:p>
    <w:p w:rsidR="00B66862" w:rsidRPr="00CB5557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val="en-US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62" w:rsidRPr="00CB5557" w:rsidRDefault="00B66862" w:rsidP="00CB555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Rys.3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B66862" w:rsidRPr="007F518A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Częstotliwość graniczna poprawnej pracy układu</w:t>
      </w: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316432" w:rsidRDefault="007F518A" w:rsidP="007F518A">
      <w:pPr>
        <w:jc w:val="center"/>
        <w:rPr>
          <w:sz w:val="24"/>
        </w:rPr>
      </w:pPr>
    </w:p>
    <w:p w:rsidR="00B66862" w:rsidRPr="007F518A" w:rsidRDefault="006359B9" w:rsidP="007F518A">
      <w:pPr>
        <w:pStyle w:val="Akapitzlist"/>
        <w:numPr>
          <w:ilvl w:val="0"/>
          <w:numId w:val="5"/>
        </w:numPr>
        <w:rPr>
          <w:sz w:val="24"/>
        </w:rPr>
      </w:pPr>
      <w:r w:rsidRPr="006359B9">
        <w:rPr>
          <w:sz w:val="24"/>
        </w:rPr>
        <w:lastRenderedPageBreak/>
        <w:t xml:space="preserve">Charakterystyka amplitudowo-fazowa </w:t>
      </w:r>
      <w:r w:rsidR="00A61327">
        <w:rPr>
          <w:sz w:val="24"/>
        </w:rPr>
        <w:t>układu różniczkującego</w:t>
      </w:r>
    </w:p>
    <w:tbl>
      <w:tblPr>
        <w:tblW w:w="7741" w:type="dxa"/>
        <w:jc w:val="center"/>
        <w:tblCellMar>
          <w:left w:w="70" w:type="dxa"/>
          <w:right w:w="70" w:type="dxa"/>
        </w:tblCellMar>
        <w:tblLook w:val="04A0"/>
      </w:tblPr>
      <w:tblGrid>
        <w:gridCol w:w="1120"/>
        <w:gridCol w:w="1357"/>
        <w:gridCol w:w="1366"/>
        <w:gridCol w:w="2019"/>
        <w:gridCol w:w="976"/>
        <w:gridCol w:w="903"/>
      </w:tblGrid>
      <w:tr w:rsidR="007F518A" w:rsidRPr="007F518A" w:rsidTr="007F518A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[V]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[V]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t[us]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7F518A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-123,84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-75,60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-39,60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219700" cy="27622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38751" cy="2819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9C6" w:rsidRDefault="003949C6" w:rsidP="00CB5557">
      <w:pPr>
        <w:jc w:val="center"/>
        <w:rPr>
          <w:b/>
          <w:sz w:val="40"/>
          <w:u w:val="single"/>
        </w:rPr>
      </w:pP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B66862" w:rsidRDefault="003949C6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Zgodnie z rysunkiem 3 możemy wnioskować , iż charakterystyki czasowe są zgodne z oczekiwaniami – układ różniczkuje poprawnie, sygnał wyjściowy jest odwrócony z uwagi na ujemne sprzężenie zwrotne.</w:t>
      </w:r>
    </w:p>
    <w:p w:rsidR="00703555" w:rsidRPr="00966BD3" w:rsidRDefault="003949C6" w:rsidP="00966BD3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Rysunek 4 pokazuje nam do jakiej częstotliwości układ pracuje poprawnie. Częstotliowść graniczna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703555">
        <w:rPr>
          <w:rFonts w:eastAsiaTheme="minorEastAsia"/>
          <w:sz w:val="24"/>
        </w:rPr>
        <w:t xml:space="preserve"> wynosi około 5 k</w:t>
      </w:r>
      <w:r>
        <w:rPr>
          <w:rFonts w:eastAsiaTheme="minorEastAsia"/>
          <w:sz w:val="24"/>
        </w:rPr>
        <w:t>Hz</w:t>
      </w:r>
      <w:r w:rsidR="00703555">
        <w:rPr>
          <w:rFonts w:eastAsiaTheme="minorEastAsia"/>
          <w:sz w:val="24"/>
        </w:rPr>
        <w:t xml:space="preserve"> co potwierdza charakterystyks amplitudowo-częstotliwościowa ( pierwsze oznaki nieliniowości charakterystyki).</w:t>
      </w:r>
    </w:p>
    <w:p w:rsidR="005E10EC" w:rsidRPr="00966BD3" w:rsidRDefault="00966BD3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Porównując charakterystyki Bodego otrzymane na podstawie symulacji oraz pomiarów możemy zauważyć różnicę w zakresie częstotliwości poprawnego różniczkowania. Dla uzyskanych pomiarów zakres jest wyraźnie krótszy ( dla symulacji do około 10 kHz , a dla pomiarów 2 razy mniej ). Możemy domniemywać , iż jest to związane z niedokładnością wykonanych podzespołów.</w:t>
      </w:r>
    </w:p>
    <w:sectPr w:rsidR="005E10EC" w:rsidRPr="00966BD3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A42"/>
    <w:rsid w:val="00025C9D"/>
    <w:rsid w:val="00043F16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949C6"/>
    <w:rsid w:val="003A3195"/>
    <w:rsid w:val="003F6D3F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03555"/>
    <w:rsid w:val="00714457"/>
    <w:rsid w:val="0073580A"/>
    <w:rsid w:val="00756A4C"/>
    <w:rsid w:val="007903DD"/>
    <w:rsid w:val="007964D2"/>
    <w:rsid w:val="00797D27"/>
    <w:rsid w:val="007F518A"/>
    <w:rsid w:val="00803A54"/>
    <w:rsid w:val="008331A8"/>
    <w:rsid w:val="00850E76"/>
    <w:rsid w:val="00855EB3"/>
    <w:rsid w:val="00966BD3"/>
    <w:rsid w:val="009E152D"/>
    <w:rsid w:val="00A31B00"/>
    <w:rsid w:val="00A5025D"/>
    <w:rsid w:val="00A50300"/>
    <w:rsid w:val="00A61327"/>
    <w:rsid w:val="00A80B35"/>
    <w:rsid w:val="00A839CE"/>
    <w:rsid w:val="00AA3186"/>
    <w:rsid w:val="00B47B62"/>
    <w:rsid w:val="00B66862"/>
    <w:rsid w:val="00BA0EB0"/>
    <w:rsid w:val="00BD0636"/>
    <w:rsid w:val="00BE5348"/>
    <w:rsid w:val="00C07554"/>
    <w:rsid w:val="00C334D6"/>
    <w:rsid w:val="00C36350"/>
    <w:rsid w:val="00C437FD"/>
    <w:rsid w:val="00C545E2"/>
    <w:rsid w:val="00C60BBC"/>
    <w:rsid w:val="00C65B90"/>
    <w:rsid w:val="00C955C5"/>
    <w:rsid w:val="00CA1DCC"/>
    <w:rsid w:val="00CB2F1D"/>
    <w:rsid w:val="00CB5557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  <c:layout>
        <c:manualLayout>
          <c:xMode val="edge"/>
          <c:yMode val="edge"/>
          <c:x val="0.16448722402346772"/>
          <c:y val="2.7777777777777801E-2"/>
        </c:manualLayout>
      </c:layout>
    </c:title>
    <c:plotArea>
      <c:layout/>
      <c:scatterChart>
        <c:scatterStyle val="smoothMarker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1.2903225806451617E-3</c:v>
                </c:pt>
                <c:pt idx="1">
                  <c:v>9.2500000000000047E-3</c:v>
                </c:pt>
                <c:pt idx="2">
                  <c:v>1.9277108433734941E-2</c:v>
                </c:pt>
                <c:pt idx="3">
                  <c:v>3.7951807228915689E-2</c:v>
                </c:pt>
                <c:pt idx="4">
                  <c:v>7.4698795180722893E-2</c:v>
                </c:pt>
                <c:pt idx="5">
                  <c:v>0.1903614457831326</c:v>
                </c:pt>
                <c:pt idx="6">
                  <c:v>0.39036144578313264</c:v>
                </c:pt>
                <c:pt idx="7">
                  <c:v>0.75000000000000022</c:v>
                </c:pt>
                <c:pt idx="8">
                  <c:v>1.7519379844961243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10.144927536231879</c:v>
                </c:pt>
                <c:pt idx="12">
                  <c:v>6.2043795620437949</c:v>
                </c:pt>
                <c:pt idx="13">
                  <c:v>3.1071428571428585</c:v>
                </c:pt>
                <c:pt idx="14">
                  <c:v>1.2999999999999994</c:v>
                </c:pt>
                <c:pt idx="15">
                  <c:v>0.71544715447154472</c:v>
                </c:pt>
                <c:pt idx="16">
                  <c:v>0.34188034188034216</c:v>
                </c:pt>
                <c:pt idx="17">
                  <c:v>0.17559523809523819</c:v>
                </c:pt>
              </c:numCache>
            </c:numRef>
          </c:yVal>
          <c:smooth val="1"/>
        </c:ser>
        <c:axId val="73509120"/>
        <c:axId val="74130560"/>
      </c:scatterChart>
      <c:valAx>
        <c:axId val="73509120"/>
        <c:scaling>
          <c:logBase val="10"/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</c:title>
        <c:numFmt formatCode="0" sourceLinked="1"/>
        <c:majorTickMark val="none"/>
        <c:tickLblPos val="low"/>
        <c:txPr>
          <a:bodyPr/>
          <a:lstStyle/>
          <a:p>
            <a:pPr>
              <a:defRPr lang="pl-PL" sz="1000"/>
            </a:pPr>
            <a:endParaRPr lang="en-US"/>
          </a:p>
        </c:txPr>
        <c:crossAx val="74130560"/>
        <c:crosses val="autoZero"/>
        <c:crossBetween val="midCat"/>
      </c:valAx>
      <c:valAx>
        <c:axId val="74130560"/>
        <c:scaling>
          <c:logBase val="10"/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Vwy/Vwe [V/V]</a:t>
                </a:r>
                <a:endParaRPr lang="en-US"/>
              </a:p>
            </c:rich>
          </c:tx>
        </c:title>
        <c:numFmt formatCode="0.0" sourceLinked="0"/>
        <c:tickLblPos val="nextTo"/>
        <c:txPr>
          <a:bodyPr/>
          <a:lstStyle/>
          <a:p>
            <a:pPr>
              <a:defRPr lang="pl-PL"/>
            </a:pPr>
            <a:endParaRPr lang="en-US"/>
          </a:p>
        </c:txPr>
        <c:crossAx val="73509120"/>
        <c:crosses val="autoZero"/>
        <c:crossBetween val="midCat"/>
      </c:valAx>
    </c:plotArea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6154392465647679"/>
          <c:y val="0.15847659667541564"/>
          <c:w val="0.74878937007874036"/>
          <c:h val="0.68387685914260721"/>
        </c:manualLayout>
      </c:layout>
      <c:scatterChart>
        <c:scatterStyle val="smoothMarker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Arkusz1!$F$3:$F$20</c:f>
              <c:numCache>
                <c:formatCode>0.00</c:formatCode>
                <c:ptCount val="18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-133.92000000000004</c:v>
                </c:pt>
                <c:pt idx="11">
                  <c:v>-162</c:v>
                </c:pt>
                <c:pt idx="12">
                  <c:v>-123.84</c:v>
                </c:pt>
                <c:pt idx="13">
                  <c:v>-100.8</c:v>
                </c:pt>
                <c:pt idx="14">
                  <c:v>-75.599999999999994</c:v>
                </c:pt>
                <c:pt idx="15">
                  <c:v>-133.19999999999999</c:v>
                </c:pt>
                <c:pt idx="16">
                  <c:v>2.8799999999999946</c:v>
                </c:pt>
                <c:pt idx="17">
                  <c:v>-39.600000000000009</c:v>
                </c:pt>
              </c:numCache>
            </c:numRef>
          </c:yVal>
          <c:smooth val="1"/>
        </c:ser>
        <c:axId val="81274752"/>
        <c:axId val="81679872"/>
      </c:scatterChart>
      <c:valAx>
        <c:axId val="81274752"/>
        <c:scaling>
          <c:logBase val="10"/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</c:title>
        <c:numFmt formatCode="0" sourceLinked="1"/>
        <c:majorTickMark val="none"/>
        <c:tickLblPos val="low"/>
        <c:txPr>
          <a:bodyPr/>
          <a:lstStyle/>
          <a:p>
            <a:pPr>
              <a:defRPr lang="pl-PL"/>
            </a:pPr>
            <a:endParaRPr lang="en-US"/>
          </a:p>
        </c:txPr>
        <c:crossAx val="81679872"/>
        <c:crosses val="autoZero"/>
        <c:crossBetween val="midCat"/>
      </c:valAx>
      <c:valAx>
        <c:axId val="816798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</c:title>
        <c:numFmt formatCode="0.00" sourceLinked="1"/>
        <c:tickLblPos val="nextTo"/>
        <c:txPr>
          <a:bodyPr/>
          <a:lstStyle/>
          <a:p>
            <a:pPr>
              <a:defRPr lang="pl-PL"/>
            </a:pPr>
            <a:endParaRPr lang="en-US"/>
          </a:p>
        </c:txPr>
        <c:crossAx val="81274752"/>
        <c:crosses val="autoZero"/>
        <c:crossBetween val="midCat"/>
      </c:valAx>
    </c:plotArea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F074-77CB-40E7-B2D8-A7199245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5</cp:revision>
  <dcterms:created xsi:type="dcterms:W3CDTF">2015-03-22T21:45:00Z</dcterms:created>
  <dcterms:modified xsi:type="dcterms:W3CDTF">2015-03-23T14:03:00Z</dcterms:modified>
</cp:coreProperties>
</file>