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line="360" w:lineRule="auto"/>
        <w:jc w:val="center"/>
      </w:pPr>
      <w:r>
        <w:rPr>
          <w:rFonts w:ascii="Times New Roman" w:hAnsi="Times New Roman" w:eastAsia="Times New Roman"/>
          <w:b/>
          <w:i w:val="0"/>
          <w:color w:val="1F2F6D"/>
          <w:sz w:val="24"/>
        </w:rPr>
        <w:t>RAPPORT OFFICIEL</w:t>
        <w:br/>
      </w:r>
      <w:r>
        <w:rPr>
          <w:rFonts w:ascii="Times New Roman" w:hAnsi="Times New Roman" w:eastAsia="Times New Roman"/>
          <w:b/>
          <w:i w:val="0"/>
          <w:color w:val="1F2F6D"/>
          <w:sz w:val="24"/>
        </w:rPr>
        <w:t>JOURNÉES CAMEROUNAISES DE L’INTELLIGENCE ARTIFICIELLE</w:t>
        <w:br/>
      </w:r>
      <w:r>
        <w:rPr>
          <w:rFonts w:ascii="Times New Roman" w:hAnsi="Times New Roman" w:eastAsia="Times New Roman"/>
          <w:b/>
          <w:i w:val="0"/>
          <w:color w:val="1F2F6D"/>
          <w:sz w:val="24"/>
        </w:rPr>
        <w:t>JCIA 2025 — 2e édition</w:t>
      </w:r>
    </w:p>
    <w:p>
      <w:pPr>
        <w:spacing w:line="360" w:lineRule="auto" w:before="360"/>
        <w:jc w:val="center"/>
      </w:pPr>
      <w:r>
        <w:rPr>
          <w:rFonts w:ascii="Times New Roman" w:hAnsi="Times New Roman" w:eastAsia="Times New Roman"/>
          <w:b/>
          <w:i w:val="0"/>
          <w:sz w:val="24"/>
        </w:rPr>
        <w:t xml:space="preserve">Thème : </w:t>
      </w:r>
      <w:r>
        <w:rPr>
          <w:rFonts w:ascii="Times New Roman" w:hAnsi="Times New Roman" w:eastAsia="Times New Roman"/>
          <w:b w:val="0"/>
          <w:i w:val="0"/>
          <w:sz w:val="24"/>
        </w:rPr>
        <w:t>Intelligence Artificielle et Développement Économique : Innover pour Transformer</w:t>
      </w:r>
    </w:p>
    <w:p>
      <w:pPr>
        <w:spacing w:line="360" w:lineRule="auto"/>
        <w:jc w:val="center"/>
      </w:pPr>
      <w:r>
        <w:rPr>
          <w:rFonts w:ascii="Times New Roman" w:hAnsi="Times New Roman" w:eastAsia="Times New Roman"/>
          <w:b/>
          <w:i w:val="0"/>
          <w:sz w:val="24"/>
        </w:rPr>
        <w:t xml:space="preserve">Dates : </w:t>
      </w:r>
      <w:r>
        <w:rPr>
          <w:rFonts w:ascii="Times New Roman" w:hAnsi="Times New Roman" w:eastAsia="Times New Roman"/>
          <w:b w:val="0"/>
          <w:i w:val="0"/>
          <w:sz w:val="24"/>
        </w:rPr>
        <w:t>22 au 24 avril 2025</w:t>
        <w:br/>
      </w:r>
      <w:r>
        <w:rPr>
          <w:rFonts w:ascii="Times New Roman" w:hAnsi="Times New Roman" w:eastAsia="Times New Roman"/>
          <w:b/>
          <w:i w:val="0"/>
          <w:sz w:val="24"/>
        </w:rPr>
        <w:t xml:space="preserve">Lieux : </w:t>
      </w:r>
      <w:r>
        <w:rPr>
          <w:rFonts w:ascii="Times New Roman" w:hAnsi="Times New Roman" w:eastAsia="Times New Roman"/>
          <w:b w:val="0"/>
          <w:i w:val="0"/>
          <w:sz w:val="24"/>
        </w:rPr>
        <w:t>Hilton Hôtel, ENSPY, IRIC — Yaoundé, Cameroun</w:t>
        <w:br/>
      </w:r>
      <w:r>
        <w:rPr>
          <w:rFonts w:ascii="Times New Roman" w:hAnsi="Times New Roman" w:eastAsia="Times New Roman"/>
          <w:b/>
          <w:i w:val="0"/>
          <w:sz w:val="24"/>
        </w:rPr>
        <w:t xml:space="preserve">Organisateur : </w:t>
      </w:r>
      <w:r>
        <w:rPr>
          <w:rFonts w:ascii="Times New Roman" w:hAnsi="Times New Roman" w:eastAsia="Times New Roman"/>
          <w:b w:val="0"/>
          <w:i w:val="0"/>
          <w:sz w:val="24"/>
        </w:rPr>
        <w:t>Intelligence Artificielle Cameroun — IAC</w:t>
      </w:r>
    </w:p>
    <w:tbl>
      <w:tblPr>
        <w:tblW w:type="auto" w:w="0"/>
        <w:jc w:val="center"/>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184"/>
      </w:tblGrid>
      <w:tr>
        <w:tc>
          <w:tcPr>
            <w:tcW w:type="dxa" w:w="9184"/>
            <w:shd w:fill="F2F2F2"/>
          </w:tcPr>
          <w:p>
            <w:pPr>
              <w:spacing w:line="360" w:lineRule="auto" w:before="360" w:after="360"/>
              <w:jc w:val="center"/>
            </w:pPr>
            <w:r>
              <w:rPr>
                <w:rFonts w:ascii="Times New Roman" w:hAnsi="Times New Roman" w:eastAsia="Times New Roman"/>
                <w:b/>
                <w:i w:val="0"/>
                <w:color w:val="1F2F6D"/>
                <w:sz w:val="24"/>
              </w:rPr>
              <w:t xml:space="preserve">PHOTO À INSÉRER — </w:t>
            </w:r>
            <w:r>
              <w:rPr>
                <w:rFonts w:ascii="Times New Roman" w:hAnsi="Times New Roman" w:eastAsia="Times New Roman"/>
                <w:b w:val="0"/>
                <w:i/>
                <w:sz w:val="24"/>
              </w:rPr>
              <w:t>image forte de la cérémonie officielle, vue large de la salle ou photo protocolaire avec les officiels, les partenaires et les organisateurs.</w:t>
            </w:r>
          </w:p>
        </w:tc>
      </w:tr>
    </w:tbl>
    <w:p>
      <w:pPr>
        <w:spacing w:line="360" w:lineRule="auto" w:before="280"/>
        <w:jc w:val="center"/>
      </w:pPr>
      <w:r>
        <w:rPr>
          <w:rFonts w:ascii="Times New Roman" w:hAnsi="Times New Roman" w:eastAsia="Times New Roman"/>
          <w:b/>
          <w:i w:val="0"/>
          <w:color w:val="1F2F6D"/>
          <w:sz w:val="24"/>
        </w:rPr>
        <w:t>Rapport final post-événement</w:t>
      </w:r>
    </w:p>
    <w:p>
      <w:pPr>
        <w:spacing w:line="360" w:lineRule="auto"/>
        <w:jc w:val="both"/>
      </w:pPr>
      <w:r>
        <w:rPr>
          <w:rFonts w:ascii="Times New Roman" w:hAnsi="Times New Roman" w:eastAsia="Times New Roman"/>
          <w:sz w:val="24"/>
        </w:rPr>
        <w:br w:type="page"/>
      </w:r>
    </w:p>
    <w:p>
      <w:pPr>
        <w:spacing w:before="240" w:after="120" w:line="360" w:lineRule="auto"/>
        <w:jc w:val="left"/>
      </w:pPr>
      <w:r>
        <w:rPr>
          <w:rFonts w:ascii="Times New Roman" w:hAnsi="Times New Roman" w:eastAsia="Times New Roman"/>
          <w:b/>
          <w:i w:val="0"/>
          <w:color w:val="1F2F6D"/>
          <w:sz w:val="24"/>
        </w:rPr>
        <w:t>SOMMAIRE</w:t>
      </w:r>
    </w:p>
    <w:p>
      <w:pPr>
        <w:spacing w:line="360" w:lineRule="auto" w:before="0" w:after="20"/>
        <w:jc w:val="left"/>
      </w:pPr>
      <w:r>
        <w:rPr>
          <w:rFonts w:ascii="Times New Roman" w:hAnsi="Times New Roman" w:eastAsia="Times New Roman"/>
          <w:b w:val="0"/>
          <w:i w:val="0"/>
          <w:sz w:val="24"/>
        </w:rPr>
        <w:t>1. Synthèse exécutive</w:t>
      </w:r>
    </w:p>
    <w:p>
      <w:pPr>
        <w:spacing w:line="360" w:lineRule="auto" w:before="0" w:after="20"/>
        <w:jc w:val="left"/>
      </w:pPr>
      <w:r>
        <w:rPr>
          <w:rFonts w:ascii="Times New Roman" w:hAnsi="Times New Roman" w:eastAsia="Times New Roman"/>
          <w:b w:val="0"/>
          <w:i w:val="0"/>
          <w:sz w:val="24"/>
        </w:rPr>
        <w:t>2. Chiffres clés de l’édition</w:t>
      </w:r>
    </w:p>
    <w:p>
      <w:pPr>
        <w:spacing w:line="360" w:lineRule="auto" w:before="0" w:after="20"/>
        <w:jc w:val="left"/>
      </w:pPr>
      <w:r>
        <w:rPr>
          <w:rFonts w:ascii="Times New Roman" w:hAnsi="Times New Roman" w:eastAsia="Times New Roman"/>
          <w:b w:val="0"/>
          <w:i w:val="0"/>
          <w:sz w:val="24"/>
        </w:rPr>
        <w:t>3. Positionnement des JCIA</w:t>
      </w:r>
    </w:p>
    <w:p>
      <w:pPr>
        <w:spacing w:line="360" w:lineRule="auto" w:before="0" w:after="20"/>
        <w:jc w:val="left"/>
      </w:pPr>
      <w:r>
        <w:rPr>
          <w:rFonts w:ascii="Times New Roman" w:hAnsi="Times New Roman" w:eastAsia="Times New Roman"/>
          <w:b w:val="0"/>
          <w:i w:val="0"/>
          <w:sz w:val="24"/>
        </w:rPr>
        <w:t>4. Contexte stratégique</w:t>
      </w:r>
    </w:p>
    <w:p>
      <w:pPr>
        <w:spacing w:line="360" w:lineRule="auto" w:before="0" w:after="20"/>
        <w:jc w:val="left"/>
      </w:pPr>
      <w:r>
        <w:rPr>
          <w:rFonts w:ascii="Times New Roman" w:hAnsi="Times New Roman" w:eastAsia="Times New Roman"/>
          <w:b w:val="0"/>
          <w:i w:val="0"/>
          <w:sz w:val="24"/>
        </w:rPr>
        <w:t>5. Objectifs de la deuxième édition</w:t>
      </w:r>
    </w:p>
    <w:p>
      <w:pPr>
        <w:spacing w:line="360" w:lineRule="auto" w:before="0" w:after="20"/>
        <w:jc w:val="left"/>
      </w:pPr>
      <w:r>
        <w:rPr>
          <w:rFonts w:ascii="Times New Roman" w:hAnsi="Times New Roman" w:eastAsia="Times New Roman"/>
          <w:b w:val="0"/>
          <w:i w:val="0"/>
          <w:sz w:val="24"/>
        </w:rPr>
        <w:t>6. Architecture générale et déroulé de l’événement</w:t>
      </w:r>
    </w:p>
    <w:p>
      <w:pPr>
        <w:spacing w:line="360" w:lineRule="auto" w:before="0" w:after="20"/>
        <w:jc w:val="left"/>
      </w:pPr>
      <w:r>
        <w:rPr>
          <w:rFonts w:ascii="Times New Roman" w:hAnsi="Times New Roman" w:eastAsia="Times New Roman"/>
          <w:b w:val="0"/>
          <w:i w:val="0"/>
          <w:sz w:val="24"/>
        </w:rPr>
        <w:t>7. Temps forts de l’édition</w:t>
      </w:r>
    </w:p>
    <w:p>
      <w:pPr>
        <w:spacing w:line="360" w:lineRule="auto" w:before="0" w:after="20"/>
        <w:jc w:val="left"/>
      </w:pPr>
      <w:r>
        <w:rPr>
          <w:rFonts w:ascii="Times New Roman" w:hAnsi="Times New Roman" w:eastAsia="Times New Roman"/>
          <w:b w:val="0"/>
          <w:i w:val="0"/>
          <w:sz w:val="24"/>
        </w:rPr>
        <w:t>8. Contenus scientifiques, économiques et institutionnels</w:t>
      </w:r>
    </w:p>
    <w:p>
      <w:pPr>
        <w:spacing w:line="360" w:lineRule="auto" w:before="0" w:after="20"/>
        <w:jc w:val="left"/>
      </w:pPr>
      <w:r>
        <w:rPr>
          <w:rFonts w:ascii="Times New Roman" w:hAnsi="Times New Roman" w:eastAsia="Times New Roman"/>
          <w:b w:val="0"/>
          <w:i w:val="0"/>
          <w:sz w:val="24"/>
        </w:rPr>
        <w:t>9. Participation et publics cibles</w:t>
      </w:r>
    </w:p>
    <w:p>
      <w:pPr>
        <w:spacing w:line="360" w:lineRule="auto" w:before="0" w:after="20"/>
        <w:jc w:val="left"/>
      </w:pPr>
      <w:r>
        <w:rPr>
          <w:rFonts w:ascii="Times New Roman" w:hAnsi="Times New Roman" w:eastAsia="Times New Roman"/>
          <w:b w:val="0"/>
          <w:i w:val="0"/>
          <w:sz w:val="24"/>
        </w:rPr>
        <w:t>10. Partenaires, sponsors et institutions associées</w:t>
      </w:r>
    </w:p>
    <w:p>
      <w:pPr>
        <w:spacing w:line="360" w:lineRule="auto" w:before="0" w:after="20"/>
        <w:jc w:val="left"/>
      </w:pPr>
      <w:r>
        <w:rPr>
          <w:rFonts w:ascii="Times New Roman" w:hAnsi="Times New Roman" w:eastAsia="Times New Roman"/>
          <w:b w:val="0"/>
          <w:i w:val="0"/>
          <w:sz w:val="24"/>
        </w:rPr>
        <w:t>11. Communication, visibilité, médias et iconographie</w:t>
      </w:r>
    </w:p>
    <w:p>
      <w:pPr>
        <w:spacing w:line="360" w:lineRule="auto" w:before="0" w:after="20"/>
        <w:jc w:val="left"/>
      </w:pPr>
      <w:r>
        <w:rPr>
          <w:rFonts w:ascii="Times New Roman" w:hAnsi="Times New Roman" w:eastAsia="Times New Roman"/>
          <w:b w:val="0"/>
          <w:i w:val="0"/>
          <w:sz w:val="24"/>
        </w:rPr>
        <w:t>12. Résultats et impacts observés</w:t>
      </w:r>
    </w:p>
    <w:p>
      <w:pPr>
        <w:spacing w:line="360" w:lineRule="auto" w:before="0" w:after="20"/>
        <w:jc w:val="left"/>
      </w:pPr>
      <w:r>
        <w:rPr>
          <w:rFonts w:ascii="Times New Roman" w:hAnsi="Times New Roman" w:eastAsia="Times New Roman"/>
          <w:b w:val="0"/>
          <w:i w:val="0"/>
          <w:sz w:val="24"/>
        </w:rPr>
        <w:t>13. Recommandations stratégiques issues des JCIA 2025</w:t>
      </w:r>
    </w:p>
    <w:p>
      <w:pPr>
        <w:spacing w:line="360" w:lineRule="auto" w:before="0" w:after="20"/>
        <w:jc w:val="left"/>
      </w:pPr>
      <w:r>
        <w:rPr>
          <w:rFonts w:ascii="Times New Roman" w:hAnsi="Times New Roman" w:eastAsia="Times New Roman"/>
          <w:b w:val="0"/>
          <w:i w:val="0"/>
          <w:sz w:val="24"/>
        </w:rPr>
        <w:t>14. Feuille de route post-JCIA</w:t>
      </w:r>
    </w:p>
    <w:p>
      <w:pPr>
        <w:spacing w:line="360" w:lineRule="auto" w:before="0" w:after="20"/>
        <w:jc w:val="left"/>
      </w:pPr>
      <w:r>
        <w:rPr>
          <w:rFonts w:ascii="Times New Roman" w:hAnsi="Times New Roman" w:eastAsia="Times New Roman"/>
          <w:b w:val="0"/>
          <w:i w:val="0"/>
          <w:sz w:val="24"/>
        </w:rPr>
        <w:t>15. Perspectives</w:t>
      </w:r>
    </w:p>
    <w:p>
      <w:pPr>
        <w:spacing w:line="360" w:lineRule="auto" w:before="0" w:after="20"/>
        <w:jc w:val="left"/>
      </w:pPr>
      <w:r>
        <w:rPr>
          <w:rFonts w:ascii="Times New Roman" w:hAnsi="Times New Roman" w:eastAsia="Times New Roman"/>
          <w:b w:val="0"/>
          <w:i w:val="0"/>
          <w:sz w:val="24"/>
        </w:rPr>
        <w:t>16. Remerciements</w:t>
      </w:r>
    </w:p>
    <w:p>
      <w:pPr>
        <w:spacing w:line="360" w:lineRule="auto" w:before="0" w:after="20"/>
        <w:jc w:val="left"/>
      </w:pPr>
      <w:r>
        <w:rPr>
          <w:rFonts w:ascii="Times New Roman" w:hAnsi="Times New Roman" w:eastAsia="Times New Roman"/>
          <w:b w:val="0"/>
          <w:i w:val="0"/>
          <w:sz w:val="24"/>
        </w:rPr>
        <w:t>17. Conclusion générale</w:t>
      </w:r>
    </w:p>
    <w:p>
      <w:pPr>
        <w:spacing w:line="360" w:lineRule="auto" w:before="0" w:after="20"/>
        <w:jc w:val="left"/>
      </w:pPr>
      <w:r>
        <w:rPr>
          <w:rFonts w:ascii="Times New Roman" w:hAnsi="Times New Roman" w:eastAsia="Times New Roman"/>
          <w:b w:val="0"/>
          <w:i w:val="0"/>
          <w:sz w:val="24"/>
        </w:rPr>
        <w:t>Annexes</w:t>
      </w:r>
    </w:p>
    <w:p>
      <w:pPr>
        <w:spacing w:line="360" w:lineRule="auto"/>
        <w:jc w:val="both"/>
      </w:pPr>
      <w:r>
        <w:rPr>
          <w:rFonts w:ascii="Times New Roman" w:hAnsi="Times New Roman" w:eastAsia="Times New Roman"/>
          <w:sz w:val="24"/>
        </w:rPr>
        <w:br w:type="page"/>
      </w:r>
    </w:p>
    <w:p>
      <w:pPr>
        <w:spacing w:before="240" w:after="120" w:line="360" w:lineRule="auto"/>
        <w:jc w:val="left"/>
      </w:pPr>
      <w:r>
        <w:rPr>
          <w:rFonts w:ascii="Times New Roman" w:hAnsi="Times New Roman" w:eastAsia="Times New Roman"/>
          <w:b/>
          <w:i w:val="0"/>
          <w:color w:val="1F2F6D"/>
          <w:sz w:val="24"/>
        </w:rPr>
        <w:t>1. SYNTHÈSE EXÉCUTIVE</w:t>
      </w:r>
    </w:p>
    <w:p>
      <w:pPr>
        <w:spacing w:line="360" w:lineRule="auto" w:before="0" w:after="120"/>
        <w:jc w:val="both"/>
      </w:pPr>
      <w:r>
        <w:rPr>
          <w:rFonts w:ascii="Times New Roman" w:hAnsi="Times New Roman" w:eastAsia="Times New Roman"/>
          <w:b w:val="0"/>
          <w:i w:val="0"/>
          <w:sz w:val="24"/>
        </w:rPr>
        <w:t>Du 22 au 24 avril 2025, Yaoundé a accueilli la deuxième édition des Journées Camerounaises de l’Intelligence Artificielle, un rendez-vous national et international dédié à la réflexion, à l’innovation, à la démonstration technologique et à la construction d’un écosystème camerounais de l’intelligence artificielle plus structuré, plus responsable et plus compétitif.</w:t>
      </w:r>
    </w:p>
    <w:p>
      <w:pPr>
        <w:spacing w:line="360" w:lineRule="auto" w:before="0" w:after="120"/>
        <w:jc w:val="both"/>
      </w:pPr>
      <w:r>
        <w:rPr>
          <w:rFonts w:ascii="Times New Roman" w:hAnsi="Times New Roman" w:eastAsia="Times New Roman"/>
          <w:b w:val="0"/>
          <w:i w:val="0"/>
          <w:sz w:val="24"/>
        </w:rPr>
        <w:t>Portée par Intelligence Artificielle Cameroun, cette édition s’est tenue autour du thème : « Intelligence Artificielle et Développement Économique : Innover pour Transformer ». Ce choix thématique traduisait une ambition claire : dépasser la simple fascination technologique pour poser la question centrale de l’impact économique, social, industriel, éducatif, diplomatique et institutionnel de l’IA dans le contexte camerounais et africain.</w:t>
      </w:r>
    </w:p>
    <w:p>
      <w:pPr>
        <w:spacing w:line="360" w:lineRule="auto" w:before="0" w:after="120"/>
        <w:jc w:val="both"/>
      </w:pPr>
      <w:r>
        <w:rPr>
          <w:rFonts w:ascii="Times New Roman" w:hAnsi="Times New Roman" w:eastAsia="Times New Roman"/>
          <w:b w:val="0"/>
          <w:i w:val="0"/>
          <w:sz w:val="24"/>
        </w:rPr>
        <w:t>À travers une programmation articulée autour de conférences, panels, masterclasses, démonstrations, exposition 100 % IA, Cameroon Artificial Intelligence Awards, hackathon, fireside chat et séquences institutionnelles, les JCIA 2025 ont confirmé leur rôle de plateforme de référence pour les décideurs publics, les entreprises, les startups, les universités, les chercheurs, les étudiants, les investisseurs, les médias et les partenaires techniques engagés dans la transformation numérique du Cameroun.</w:t>
      </w:r>
    </w:p>
    <w:p>
      <w:pPr>
        <w:spacing w:line="360" w:lineRule="auto" w:before="0" w:after="120"/>
        <w:jc w:val="both"/>
      </w:pPr>
      <w:r>
        <w:rPr>
          <w:rFonts w:ascii="Times New Roman" w:hAnsi="Times New Roman" w:eastAsia="Times New Roman"/>
          <w:b w:val="0"/>
          <w:i w:val="0"/>
          <w:sz w:val="24"/>
        </w:rPr>
        <w:t>Cette deuxième édition a réuni 3 000 participants sur l’ensemble des trois jours, 200 participants en ligne, une audience touchant 10 pays et plus de 5 000 votants mobilisés autour des Awards. Elle a aussi permis de mettre en avant 34 intervenants et personnalités nommément programmés, 40 prises de parole, 4 panels thématiques, 2 masterclasses, 1 fireside chat, 2 démonstrations pratiques, 3 keynotes ou leçons inaugurales, 1 salon d’exposition 100 % IA et 7 catégories de prix.</w:t>
      </w:r>
    </w:p>
    <w:p>
      <w:pPr>
        <w:spacing w:line="360" w:lineRule="auto" w:before="0" w:after="120"/>
        <w:jc w:val="both"/>
      </w:pPr>
      <w:r>
        <w:rPr>
          <w:rFonts w:ascii="Times New Roman" w:hAnsi="Times New Roman" w:eastAsia="Times New Roman"/>
          <w:b w:val="0"/>
          <w:i w:val="0"/>
          <w:sz w:val="24"/>
        </w:rPr>
        <w:t>Dans un contexte mondial où l’IA devient un levier majeur de productivité, de compétitivité, d’innovation et de souveraineté, les JCIA 2025 ont rappelé une conviction forte : le Cameroun ne doit pas seulement consommer les technologies d’intelligence artificielle. Il doit former ses talents, produire ses données, développer ses propres cas d’usage, soutenir ses entrepreneurs, encadrer les risques, mobiliser ses institutions et bâtir une économie numérique inclusive, éthique et durable.</w:t>
      </w:r>
    </w:p>
    <w:p>
      <w:pPr>
        <w:spacing w:before="240" w:after="120" w:line="360" w:lineRule="auto"/>
        <w:jc w:val="left"/>
      </w:pPr>
      <w:r>
        <w:rPr>
          <w:rFonts w:ascii="Times New Roman" w:hAnsi="Times New Roman" w:eastAsia="Times New Roman"/>
          <w:b/>
          <w:i w:val="0"/>
          <w:color w:val="1F2F6D"/>
          <w:sz w:val="24"/>
        </w:rPr>
        <w:t>2. CHIFFRES CLÉS DE L’ÉDITION</w:t>
      </w:r>
    </w:p>
    <w:tbl>
      <w:tblPr>
        <w:tblStyle w:val="TableGrid"/>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92"/>
        <w:gridCol w:w="4592"/>
      </w:tblGrid>
      <w:tr>
        <w:trPr>
          <w:tblHeader w:val="true"/>
        </w:trPr>
        <w:tc>
          <w:tcPr>
            <w:tcW w:type="dxa" w:w="4536"/>
            <w:vAlign w:val="center"/>
            <w:shd w:fill="1F2F6D"/>
          </w:tcPr>
          <w:p>
            <w:pPr>
              <w:spacing w:line="360" w:lineRule="auto"/>
              <w:jc w:val="left"/>
            </w:pPr>
            <w:r/>
            <w:r>
              <w:rPr>
                <w:rFonts w:ascii="Times New Roman" w:hAnsi="Times New Roman" w:eastAsia="Times New Roman"/>
                <w:b/>
                <w:color w:val="FFFFFF"/>
                <w:sz w:val="24"/>
              </w:rPr>
              <w:t>Indicateur</w:t>
            </w:r>
          </w:p>
        </w:tc>
        <w:tc>
          <w:tcPr>
            <w:tcW w:type="dxa" w:w="4536"/>
            <w:vAlign w:val="center"/>
            <w:shd w:fill="1F2F6D"/>
          </w:tcPr>
          <w:p>
            <w:pPr>
              <w:spacing w:line="360" w:lineRule="auto"/>
              <w:jc w:val="left"/>
            </w:pPr>
            <w:r/>
            <w:r>
              <w:rPr>
                <w:rFonts w:ascii="Times New Roman" w:hAnsi="Times New Roman" w:eastAsia="Times New Roman"/>
                <w:b/>
                <w:color w:val="FFFFFF"/>
                <w:sz w:val="24"/>
              </w:rPr>
              <w:t>Donnée consolidée</w:t>
            </w:r>
          </w:p>
        </w:tc>
      </w:tr>
      <w:tr>
        <w:tc>
          <w:tcPr>
            <w:tcW w:type="dxa" w:w="4536"/>
            <w:vAlign w:val="center"/>
          </w:tcPr>
          <w:p>
            <w:pPr>
              <w:spacing w:line="360" w:lineRule="auto"/>
              <w:jc w:val="left"/>
            </w:pPr>
            <w:r/>
            <w:r>
              <w:rPr>
                <w:rFonts w:ascii="Times New Roman" w:hAnsi="Times New Roman" w:eastAsia="Times New Roman"/>
                <w:b w:val="0"/>
                <w:sz w:val="24"/>
              </w:rPr>
              <w:t>Participants cumulés sur les trois jours</w:t>
            </w:r>
          </w:p>
        </w:tc>
        <w:tc>
          <w:tcPr>
            <w:tcW w:type="dxa" w:w="4536"/>
            <w:vAlign w:val="center"/>
          </w:tcPr>
          <w:p>
            <w:pPr>
              <w:spacing w:line="360" w:lineRule="auto"/>
              <w:jc w:val="left"/>
            </w:pPr>
            <w:r/>
            <w:r>
              <w:rPr>
                <w:rFonts w:ascii="Times New Roman" w:hAnsi="Times New Roman" w:eastAsia="Times New Roman"/>
                <w:b w:val="0"/>
                <w:sz w:val="24"/>
              </w:rPr>
              <w:t>3 000</w:t>
            </w:r>
          </w:p>
        </w:tc>
      </w:tr>
      <w:tr>
        <w:tc>
          <w:tcPr>
            <w:tcW w:type="dxa" w:w="4536"/>
            <w:vAlign w:val="center"/>
          </w:tcPr>
          <w:p>
            <w:pPr>
              <w:spacing w:line="360" w:lineRule="auto"/>
              <w:jc w:val="left"/>
            </w:pPr>
            <w:r/>
            <w:r>
              <w:rPr>
                <w:rFonts w:ascii="Times New Roman" w:hAnsi="Times New Roman" w:eastAsia="Times New Roman"/>
                <w:b w:val="0"/>
                <w:sz w:val="24"/>
              </w:rPr>
              <w:t>Participants en ligne</w:t>
            </w:r>
          </w:p>
        </w:tc>
        <w:tc>
          <w:tcPr>
            <w:tcW w:type="dxa" w:w="4536"/>
            <w:vAlign w:val="center"/>
          </w:tcPr>
          <w:p>
            <w:pPr>
              <w:spacing w:line="360" w:lineRule="auto"/>
              <w:jc w:val="left"/>
            </w:pPr>
            <w:r/>
            <w:r>
              <w:rPr>
                <w:rFonts w:ascii="Times New Roman" w:hAnsi="Times New Roman" w:eastAsia="Times New Roman"/>
                <w:b w:val="0"/>
                <w:sz w:val="24"/>
              </w:rPr>
              <w:t>200</w:t>
            </w:r>
          </w:p>
        </w:tc>
      </w:tr>
      <w:tr>
        <w:tc>
          <w:tcPr>
            <w:tcW w:type="dxa" w:w="4536"/>
            <w:vAlign w:val="center"/>
          </w:tcPr>
          <w:p>
            <w:pPr>
              <w:spacing w:line="360" w:lineRule="auto"/>
              <w:jc w:val="left"/>
            </w:pPr>
            <w:r/>
            <w:r>
              <w:rPr>
                <w:rFonts w:ascii="Times New Roman" w:hAnsi="Times New Roman" w:eastAsia="Times New Roman"/>
                <w:b w:val="0"/>
                <w:sz w:val="24"/>
              </w:rPr>
              <w:t>Pays représentés / touchés</w:t>
            </w:r>
          </w:p>
        </w:tc>
        <w:tc>
          <w:tcPr>
            <w:tcW w:type="dxa" w:w="4536"/>
            <w:vAlign w:val="center"/>
          </w:tcPr>
          <w:p>
            <w:pPr>
              <w:spacing w:line="360" w:lineRule="auto"/>
              <w:jc w:val="left"/>
            </w:pPr>
            <w:r/>
            <w:r>
              <w:rPr>
                <w:rFonts w:ascii="Times New Roman" w:hAnsi="Times New Roman" w:eastAsia="Times New Roman"/>
                <w:b w:val="0"/>
                <w:sz w:val="24"/>
              </w:rPr>
              <w:t>10</w:t>
            </w:r>
          </w:p>
        </w:tc>
      </w:tr>
      <w:tr>
        <w:tc>
          <w:tcPr>
            <w:tcW w:type="dxa" w:w="4536"/>
            <w:vAlign w:val="center"/>
          </w:tcPr>
          <w:p>
            <w:pPr>
              <w:spacing w:line="360" w:lineRule="auto"/>
              <w:jc w:val="left"/>
            </w:pPr>
            <w:r/>
            <w:r>
              <w:rPr>
                <w:rFonts w:ascii="Times New Roman" w:hAnsi="Times New Roman" w:eastAsia="Times New Roman"/>
                <w:b w:val="0"/>
                <w:sz w:val="24"/>
              </w:rPr>
              <w:t>Votants mobilisés autour des CAIA 2025</w:t>
            </w:r>
          </w:p>
        </w:tc>
        <w:tc>
          <w:tcPr>
            <w:tcW w:type="dxa" w:w="4536"/>
            <w:vAlign w:val="center"/>
          </w:tcPr>
          <w:p>
            <w:pPr>
              <w:spacing w:line="360" w:lineRule="auto"/>
              <w:jc w:val="left"/>
            </w:pPr>
            <w:r/>
            <w:r>
              <w:rPr>
                <w:rFonts w:ascii="Times New Roman" w:hAnsi="Times New Roman" w:eastAsia="Times New Roman"/>
                <w:b w:val="0"/>
                <w:sz w:val="24"/>
              </w:rPr>
              <w:t>+5 000</w:t>
            </w:r>
          </w:p>
        </w:tc>
      </w:tr>
      <w:tr>
        <w:tc>
          <w:tcPr>
            <w:tcW w:type="dxa" w:w="4536"/>
            <w:vAlign w:val="center"/>
          </w:tcPr>
          <w:p>
            <w:pPr>
              <w:spacing w:line="360" w:lineRule="auto"/>
              <w:jc w:val="left"/>
            </w:pPr>
            <w:r/>
            <w:r>
              <w:rPr>
                <w:rFonts w:ascii="Times New Roman" w:hAnsi="Times New Roman" w:eastAsia="Times New Roman"/>
                <w:b w:val="0"/>
                <w:sz w:val="24"/>
              </w:rPr>
              <w:t>Durée de l’événement</w:t>
            </w:r>
          </w:p>
        </w:tc>
        <w:tc>
          <w:tcPr>
            <w:tcW w:type="dxa" w:w="4536"/>
            <w:vAlign w:val="center"/>
          </w:tcPr>
          <w:p>
            <w:pPr>
              <w:spacing w:line="360" w:lineRule="auto"/>
              <w:jc w:val="left"/>
            </w:pPr>
            <w:r/>
            <w:r>
              <w:rPr>
                <w:rFonts w:ascii="Times New Roman" w:hAnsi="Times New Roman" w:eastAsia="Times New Roman"/>
                <w:b w:val="0"/>
                <w:sz w:val="24"/>
              </w:rPr>
              <w:t>3 jours</w:t>
            </w:r>
          </w:p>
        </w:tc>
      </w:tr>
      <w:tr>
        <w:tc>
          <w:tcPr>
            <w:tcW w:type="dxa" w:w="4536"/>
            <w:vAlign w:val="center"/>
          </w:tcPr>
          <w:p>
            <w:pPr>
              <w:spacing w:line="360" w:lineRule="auto"/>
              <w:jc w:val="left"/>
            </w:pPr>
            <w:r/>
            <w:r>
              <w:rPr>
                <w:rFonts w:ascii="Times New Roman" w:hAnsi="Times New Roman" w:eastAsia="Times New Roman"/>
                <w:b w:val="0"/>
                <w:sz w:val="24"/>
              </w:rPr>
              <w:t>Sites d’activités</w:t>
            </w:r>
          </w:p>
        </w:tc>
        <w:tc>
          <w:tcPr>
            <w:tcW w:type="dxa" w:w="4536"/>
            <w:vAlign w:val="center"/>
          </w:tcPr>
          <w:p>
            <w:pPr>
              <w:spacing w:line="360" w:lineRule="auto"/>
              <w:jc w:val="left"/>
            </w:pPr>
            <w:r/>
            <w:r>
              <w:rPr>
                <w:rFonts w:ascii="Times New Roman" w:hAnsi="Times New Roman" w:eastAsia="Times New Roman"/>
                <w:b w:val="0"/>
                <w:sz w:val="24"/>
              </w:rPr>
              <w:t>3 : Hilton Hôtel, ENSPY, IRIC</w:t>
            </w:r>
          </w:p>
        </w:tc>
      </w:tr>
      <w:tr>
        <w:tc>
          <w:tcPr>
            <w:tcW w:type="dxa" w:w="4536"/>
            <w:vAlign w:val="center"/>
          </w:tcPr>
          <w:p>
            <w:pPr>
              <w:spacing w:line="360" w:lineRule="auto"/>
              <w:jc w:val="left"/>
            </w:pPr>
            <w:r/>
            <w:r>
              <w:rPr>
                <w:rFonts w:ascii="Times New Roman" w:hAnsi="Times New Roman" w:eastAsia="Times New Roman"/>
                <w:b w:val="0"/>
                <w:sz w:val="24"/>
              </w:rPr>
              <w:t>Intervenants et personnalités nommément programmés</w:t>
            </w:r>
          </w:p>
        </w:tc>
        <w:tc>
          <w:tcPr>
            <w:tcW w:type="dxa" w:w="4536"/>
            <w:vAlign w:val="center"/>
          </w:tcPr>
          <w:p>
            <w:pPr>
              <w:spacing w:line="360" w:lineRule="auto"/>
              <w:jc w:val="left"/>
            </w:pPr>
            <w:r/>
            <w:r>
              <w:rPr>
                <w:rFonts w:ascii="Times New Roman" w:hAnsi="Times New Roman" w:eastAsia="Times New Roman"/>
                <w:b w:val="0"/>
                <w:sz w:val="24"/>
              </w:rPr>
              <w:t>34</w:t>
            </w:r>
          </w:p>
        </w:tc>
      </w:tr>
      <w:tr>
        <w:tc>
          <w:tcPr>
            <w:tcW w:type="dxa" w:w="4536"/>
            <w:vAlign w:val="center"/>
          </w:tcPr>
          <w:p>
            <w:pPr>
              <w:spacing w:line="360" w:lineRule="auto"/>
              <w:jc w:val="left"/>
            </w:pPr>
            <w:r/>
            <w:r>
              <w:rPr>
                <w:rFonts w:ascii="Times New Roman" w:hAnsi="Times New Roman" w:eastAsia="Times New Roman"/>
                <w:b w:val="0"/>
                <w:sz w:val="24"/>
              </w:rPr>
              <w:t>Interventions / prises de parole programmées</w:t>
            </w:r>
          </w:p>
        </w:tc>
        <w:tc>
          <w:tcPr>
            <w:tcW w:type="dxa" w:w="4536"/>
            <w:vAlign w:val="center"/>
          </w:tcPr>
          <w:p>
            <w:pPr>
              <w:spacing w:line="360" w:lineRule="auto"/>
              <w:jc w:val="left"/>
            </w:pPr>
            <w:r/>
            <w:r>
              <w:rPr>
                <w:rFonts w:ascii="Times New Roman" w:hAnsi="Times New Roman" w:eastAsia="Times New Roman"/>
                <w:b w:val="0"/>
                <w:sz w:val="24"/>
              </w:rPr>
              <w:t>40</w:t>
            </w:r>
          </w:p>
        </w:tc>
      </w:tr>
      <w:tr>
        <w:tc>
          <w:tcPr>
            <w:tcW w:type="dxa" w:w="4536"/>
            <w:vAlign w:val="center"/>
          </w:tcPr>
          <w:p>
            <w:pPr>
              <w:spacing w:line="360" w:lineRule="auto"/>
              <w:jc w:val="left"/>
            </w:pPr>
            <w:r/>
            <w:r>
              <w:rPr>
                <w:rFonts w:ascii="Times New Roman" w:hAnsi="Times New Roman" w:eastAsia="Times New Roman"/>
                <w:b w:val="0"/>
                <w:sz w:val="24"/>
              </w:rPr>
              <w:t>Conférences et panels thématiques</w:t>
            </w:r>
          </w:p>
        </w:tc>
        <w:tc>
          <w:tcPr>
            <w:tcW w:type="dxa" w:w="4536"/>
            <w:vAlign w:val="center"/>
          </w:tcPr>
          <w:p>
            <w:pPr>
              <w:spacing w:line="360" w:lineRule="auto"/>
              <w:jc w:val="left"/>
            </w:pPr>
            <w:r/>
            <w:r>
              <w:rPr>
                <w:rFonts w:ascii="Times New Roman" w:hAnsi="Times New Roman" w:eastAsia="Times New Roman"/>
                <w:b w:val="0"/>
                <w:sz w:val="24"/>
              </w:rPr>
              <w:t>4</w:t>
            </w:r>
          </w:p>
        </w:tc>
      </w:tr>
      <w:tr>
        <w:tc>
          <w:tcPr>
            <w:tcW w:type="dxa" w:w="4536"/>
            <w:vAlign w:val="center"/>
          </w:tcPr>
          <w:p>
            <w:pPr>
              <w:spacing w:line="360" w:lineRule="auto"/>
              <w:jc w:val="left"/>
            </w:pPr>
            <w:r/>
            <w:r>
              <w:rPr>
                <w:rFonts w:ascii="Times New Roman" w:hAnsi="Times New Roman" w:eastAsia="Times New Roman"/>
                <w:b w:val="0"/>
                <w:sz w:val="24"/>
              </w:rPr>
              <w:t>Formats conversationnels</w:t>
            </w:r>
          </w:p>
        </w:tc>
        <w:tc>
          <w:tcPr>
            <w:tcW w:type="dxa" w:w="4536"/>
            <w:vAlign w:val="center"/>
          </w:tcPr>
          <w:p>
            <w:pPr>
              <w:spacing w:line="360" w:lineRule="auto"/>
              <w:jc w:val="left"/>
            </w:pPr>
            <w:r/>
            <w:r>
              <w:rPr>
                <w:rFonts w:ascii="Times New Roman" w:hAnsi="Times New Roman" w:eastAsia="Times New Roman"/>
                <w:b w:val="0"/>
                <w:sz w:val="24"/>
              </w:rPr>
              <w:t>5, dont 4 panels et 1 fireside chat</w:t>
            </w:r>
          </w:p>
        </w:tc>
      </w:tr>
      <w:tr>
        <w:tc>
          <w:tcPr>
            <w:tcW w:type="dxa" w:w="4536"/>
            <w:vAlign w:val="center"/>
          </w:tcPr>
          <w:p>
            <w:pPr>
              <w:spacing w:line="360" w:lineRule="auto"/>
              <w:jc w:val="left"/>
            </w:pPr>
            <w:r/>
            <w:r>
              <w:rPr>
                <w:rFonts w:ascii="Times New Roman" w:hAnsi="Times New Roman" w:eastAsia="Times New Roman"/>
                <w:b w:val="0"/>
                <w:sz w:val="24"/>
              </w:rPr>
              <w:t>Masterclasses</w:t>
            </w:r>
          </w:p>
        </w:tc>
        <w:tc>
          <w:tcPr>
            <w:tcW w:type="dxa" w:w="4536"/>
            <w:vAlign w:val="center"/>
          </w:tcPr>
          <w:p>
            <w:pPr>
              <w:spacing w:line="360" w:lineRule="auto"/>
              <w:jc w:val="left"/>
            </w:pPr>
            <w:r/>
            <w:r>
              <w:rPr>
                <w:rFonts w:ascii="Times New Roman" w:hAnsi="Times New Roman" w:eastAsia="Times New Roman"/>
                <w:b w:val="0"/>
                <w:sz w:val="24"/>
              </w:rPr>
              <w:t>2</w:t>
            </w:r>
          </w:p>
        </w:tc>
      </w:tr>
      <w:tr>
        <w:tc>
          <w:tcPr>
            <w:tcW w:type="dxa" w:w="4536"/>
            <w:vAlign w:val="center"/>
          </w:tcPr>
          <w:p>
            <w:pPr>
              <w:spacing w:line="360" w:lineRule="auto"/>
              <w:jc w:val="left"/>
            </w:pPr>
            <w:r/>
            <w:r>
              <w:rPr>
                <w:rFonts w:ascii="Times New Roman" w:hAnsi="Times New Roman" w:eastAsia="Times New Roman"/>
                <w:b w:val="0"/>
                <w:sz w:val="24"/>
              </w:rPr>
              <w:t>Keynotes et leçons inaugurales</w:t>
            </w:r>
          </w:p>
        </w:tc>
        <w:tc>
          <w:tcPr>
            <w:tcW w:type="dxa" w:w="4536"/>
            <w:vAlign w:val="center"/>
          </w:tcPr>
          <w:p>
            <w:pPr>
              <w:spacing w:line="360" w:lineRule="auto"/>
              <w:jc w:val="left"/>
            </w:pPr>
            <w:r/>
            <w:r>
              <w:rPr>
                <w:rFonts w:ascii="Times New Roman" w:hAnsi="Times New Roman" w:eastAsia="Times New Roman"/>
                <w:b w:val="0"/>
                <w:sz w:val="24"/>
              </w:rPr>
              <w:t>3</w:t>
            </w:r>
          </w:p>
        </w:tc>
      </w:tr>
      <w:tr>
        <w:tc>
          <w:tcPr>
            <w:tcW w:type="dxa" w:w="4536"/>
            <w:vAlign w:val="center"/>
          </w:tcPr>
          <w:p>
            <w:pPr>
              <w:spacing w:line="360" w:lineRule="auto"/>
              <w:jc w:val="left"/>
            </w:pPr>
            <w:r/>
            <w:r>
              <w:rPr>
                <w:rFonts w:ascii="Times New Roman" w:hAnsi="Times New Roman" w:eastAsia="Times New Roman"/>
                <w:b w:val="0"/>
                <w:sz w:val="24"/>
              </w:rPr>
              <w:t>Démonstrations pratiques de solutions IA</w:t>
            </w:r>
          </w:p>
        </w:tc>
        <w:tc>
          <w:tcPr>
            <w:tcW w:type="dxa" w:w="4536"/>
            <w:vAlign w:val="center"/>
          </w:tcPr>
          <w:p>
            <w:pPr>
              <w:spacing w:line="360" w:lineRule="auto"/>
              <w:jc w:val="left"/>
            </w:pPr>
            <w:r/>
            <w:r>
              <w:rPr>
                <w:rFonts w:ascii="Times New Roman" w:hAnsi="Times New Roman" w:eastAsia="Times New Roman"/>
                <w:b w:val="0"/>
                <w:sz w:val="24"/>
              </w:rPr>
              <w:t>2</w:t>
            </w:r>
          </w:p>
        </w:tc>
      </w:tr>
      <w:tr>
        <w:tc>
          <w:tcPr>
            <w:tcW w:type="dxa" w:w="4536"/>
            <w:vAlign w:val="center"/>
          </w:tcPr>
          <w:p>
            <w:pPr>
              <w:spacing w:line="360" w:lineRule="auto"/>
              <w:jc w:val="left"/>
            </w:pPr>
            <w:r/>
            <w:r>
              <w:rPr>
                <w:rFonts w:ascii="Times New Roman" w:hAnsi="Times New Roman" w:eastAsia="Times New Roman"/>
                <w:b w:val="0"/>
                <w:sz w:val="24"/>
              </w:rPr>
              <w:t>Exposé institutionnel spécialisé</w:t>
            </w:r>
          </w:p>
        </w:tc>
        <w:tc>
          <w:tcPr>
            <w:tcW w:type="dxa" w:w="4536"/>
            <w:vAlign w:val="center"/>
          </w:tcPr>
          <w:p>
            <w:pPr>
              <w:spacing w:line="360" w:lineRule="auto"/>
              <w:jc w:val="left"/>
            </w:pPr>
            <w:r/>
            <w:r>
              <w:rPr>
                <w:rFonts w:ascii="Times New Roman" w:hAnsi="Times New Roman" w:eastAsia="Times New Roman"/>
                <w:b w:val="0"/>
                <w:sz w:val="24"/>
              </w:rPr>
              <w:t>1</w:t>
            </w:r>
          </w:p>
        </w:tc>
      </w:tr>
      <w:tr>
        <w:tc>
          <w:tcPr>
            <w:tcW w:type="dxa" w:w="4536"/>
            <w:vAlign w:val="center"/>
          </w:tcPr>
          <w:p>
            <w:pPr>
              <w:spacing w:line="360" w:lineRule="auto"/>
              <w:jc w:val="left"/>
            </w:pPr>
            <w:r/>
            <w:r>
              <w:rPr>
                <w:rFonts w:ascii="Times New Roman" w:hAnsi="Times New Roman" w:eastAsia="Times New Roman"/>
                <w:b w:val="0"/>
                <w:sz w:val="24"/>
              </w:rPr>
              <w:t>Salon d’exposition 100 % IA</w:t>
            </w:r>
          </w:p>
        </w:tc>
        <w:tc>
          <w:tcPr>
            <w:tcW w:type="dxa" w:w="4536"/>
            <w:vAlign w:val="center"/>
          </w:tcPr>
          <w:p>
            <w:pPr>
              <w:spacing w:line="360" w:lineRule="auto"/>
              <w:jc w:val="left"/>
            </w:pPr>
            <w:r/>
            <w:r>
              <w:rPr>
                <w:rFonts w:ascii="Times New Roman" w:hAnsi="Times New Roman" w:eastAsia="Times New Roman"/>
                <w:b w:val="0"/>
                <w:sz w:val="24"/>
              </w:rPr>
              <w:t>1</w:t>
            </w:r>
          </w:p>
        </w:tc>
      </w:tr>
      <w:tr>
        <w:tc>
          <w:tcPr>
            <w:tcW w:type="dxa" w:w="4536"/>
            <w:vAlign w:val="center"/>
          </w:tcPr>
          <w:p>
            <w:pPr>
              <w:spacing w:line="360" w:lineRule="auto"/>
              <w:jc w:val="left"/>
            </w:pPr>
            <w:r/>
            <w:r>
              <w:rPr>
                <w:rFonts w:ascii="Times New Roman" w:hAnsi="Times New Roman" w:eastAsia="Times New Roman"/>
                <w:b w:val="0"/>
                <w:sz w:val="24"/>
              </w:rPr>
              <w:t>Cérémonies majeures</w:t>
            </w:r>
          </w:p>
        </w:tc>
        <w:tc>
          <w:tcPr>
            <w:tcW w:type="dxa" w:w="4536"/>
            <w:vAlign w:val="center"/>
          </w:tcPr>
          <w:p>
            <w:pPr>
              <w:spacing w:line="360" w:lineRule="auto"/>
              <w:jc w:val="left"/>
            </w:pPr>
            <w:r/>
            <w:r>
              <w:rPr>
                <w:rFonts w:ascii="Times New Roman" w:hAnsi="Times New Roman" w:eastAsia="Times New Roman"/>
                <w:b w:val="0"/>
                <w:sz w:val="24"/>
              </w:rPr>
              <w:t>2 : ouverture et clôture</w:t>
            </w:r>
          </w:p>
        </w:tc>
      </w:tr>
      <w:tr>
        <w:tc>
          <w:tcPr>
            <w:tcW w:type="dxa" w:w="4536"/>
            <w:vAlign w:val="center"/>
          </w:tcPr>
          <w:p>
            <w:pPr>
              <w:spacing w:line="360" w:lineRule="auto"/>
              <w:jc w:val="left"/>
            </w:pPr>
            <w:r/>
            <w:r>
              <w:rPr>
                <w:rFonts w:ascii="Times New Roman" w:hAnsi="Times New Roman" w:eastAsia="Times New Roman"/>
                <w:b w:val="0"/>
                <w:sz w:val="24"/>
              </w:rPr>
              <w:t>Sessions de recommandations</w:t>
            </w:r>
          </w:p>
        </w:tc>
        <w:tc>
          <w:tcPr>
            <w:tcW w:type="dxa" w:w="4536"/>
            <w:vAlign w:val="center"/>
          </w:tcPr>
          <w:p>
            <w:pPr>
              <w:spacing w:line="360" w:lineRule="auto"/>
              <w:jc w:val="left"/>
            </w:pPr>
            <w:r/>
            <w:r>
              <w:rPr>
                <w:rFonts w:ascii="Times New Roman" w:hAnsi="Times New Roman" w:eastAsia="Times New Roman"/>
                <w:b w:val="0"/>
                <w:sz w:val="24"/>
              </w:rPr>
              <w:t>1</w:t>
            </w:r>
          </w:p>
        </w:tc>
      </w:tr>
      <w:tr>
        <w:tc>
          <w:tcPr>
            <w:tcW w:type="dxa" w:w="4536"/>
            <w:vAlign w:val="center"/>
          </w:tcPr>
          <w:p>
            <w:pPr>
              <w:spacing w:line="360" w:lineRule="auto"/>
              <w:jc w:val="left"/>
            </w:pPr>
            <w:r/>
            <w:r>
              <w:rPr>
                <w:rFonts w:ascii="Times New Roman" w:hAnsi="Times New Roman" w:eastAsia="Times New Roman"/>
                <w:b w:val="0"/>
                <w:sz w:val="24"/>
              </w:rPr>
              <w:t>Catégories CAIA 2025 récompensées</w:t>
            </w:r>
          </w:p>
        </w:tc>
        <w:tc>
          <w:tcPr>
            <w:tcW w:type="dxa" w:w="4536"/>
            <w:vAlign w:val="center"/>
          </w:tcPr>
          <w:p>
            <w:pPr>
              <w:spacing w:line="360" w:lineRule="auto"/>
              <w:jc w:val="left"/>
            </w:pPr>
            <w:r/>
            <w:r>
              <w:rPr>
                <w:rFonts w:ascii="Times New Roman" w:hAnsi="Times New Roman" w:eastAsia="Times New Roman"/>
                <w:b w:val="0"/>
                <w:sz w:val="24"/>
              </w:rPr>
              <w:t>7</w:t>
            </w:r>
          </w:p>
        </w:tc>
      </w:tr>
    </w:tbl>
    <w:p>
      <w:pPr>
        <w:spacing w:line="360" w:lineRule="auto" w:before="0" w:after="120"/>
        <w:jc w:val="both"/>
      </w:pPr>
      <w:r>
        <w:rPr>
          <w:rFonts w:ascii="Times New Roman" w:hAnsi="Times New Roman" w:eastAsia="Times New Roman"/>
          <w:b w:val="0"/>
          <w:i w:val="0"/>
          <w:sz w:val="24"/>
        </w:rPr>
        <w:t>Ces indicateurs confirment le changement d’échelle engagé par les JCIA. Après une première édition fondatrice, l’édition 2025 a été conçue comme un événement d’écosystème, capable de relier la recherche, l’entreprise, l’administration, les startups, les talents et les partenaires internationaux autour d’un agenda commun.</w:t>
      </w:r>
    </w:p>
    <w:p>
      <w:pPr>
        <w:spacing w:before="240" w:after="120" w:line="360" w:lineRule="auto"/>
        <w:jc w:val="left"/>
      </w:pPr>
      <w:r>
        <w:rPr>
          <w:rFonts w:ascii="Times New Roman" w:hAnsi="Times New Roman" w:eastAsia="Times New Roman"/>
          <w:b/>
          <w:i w:val="0"/>
          <w:color w:val="1F2F6D"/>
          <w:sz w:val="24"/>
        </w:rPr>
        <w:t>3. POSITIONNEMENT DES JCIA</w:t>
      </w:r>
    </w:p>
    <w:p>
      <w:pPr>
        <w:spacing w:line="360" w:lineRule="auto" w:before="0" w:after="120"/>
        <w:jc w:val="both"/>
      </w:pPr>
      <w:r>
        <w:rPr>
          <w:rFonts w:ascii="Times New Roman" w:hAnsi="Times New Roman" w:eastAsia="Times New Roman"/>
          <w:b w:val="0"/>
          <w:i w:val="0"/>
          <w:sz w:val="24"/>
        </w:rPr>
        <w:t>Les Journées Camerounaises de l’Intelligence Artificielle se positionnent comme le rendez-vous annuel de référence consacré à l’IA au Cameroun. Elles constituent à la fois une conférence stratégique, un salon d’exposition, une plateforme de démonstration, un espace de formation, un lieu de réseautage et un cadre de formulation de recommandations.</w:t>
      </w:r>
    </w:p>
    <w:p>
      <w:pPr>
        <w:spacing w:line="360" w:lineRule="auto" w:before="0" w:after="120"/>
        <w:jc w:val="both"/>
      </w:pPr>
      <w:r>
        <w:rPr>
          <w:rFonts w:ascii="Times New Roman" w:hAnsi="Times New Roman" w:eastAsia="Times New Roman"/>
          <w:b w:val="0"/>
          <w:i w:val="0"/>
          <w:sz w:val="24"/>
        </w:rPr>
        <w:t>À l’image des grands événements internationaux tels que le CES ou VivaTech, les JCIA ne se limitent pas à une succession de communications. Elles ont vocation à mettre en scène un écosystème en mouvement : institutions publiques, entreprises technologiques, startups, chercheurs, universités, investisseurs, jeunes innovateurs, médias, partenaires techniques et organisations internationales.</w:t>
      </w:r>
    </w:p>
    <w:p>
      <w:pPr>
        <w:spacing w:line="360" w:lineRule="auto" w:before="0" w:after="120"/>
        <w:jc w:val="both"/>
      </w:pPr>
      <w:r>
        <w:rPr>
          <w:rFonts w:ascii="Times New Roman" w:hAnsi="Times New Roman" w:eastAsia="Times New Roman"/>
          <w:b w:val="0"/>
          <w:i w:val="0"/>
          <w:sz w:val="24"/>
        </w:rPr>
        <w:t>La deuxième édition a consolidé cette vision en organisant l’événement autour de quatre piliers : la connaissance, l’innovation, la reconnaissance et la connexion. Ces quatre dimensions ont permis de relier contenu stratégique, démonstrations pratiques, valorisation des talents et opportunités de collaboration.</w:t>
      </w:r>
    </w:p>
    <w:p>
      <w:pPr>
        <w:spacing w:before="240" w:after="120" w:line="360" w:lineRule="auto"/>
        <w:jc w:val="left"/>
      </w:pPr>
      <w:r>
        <w:rPr>
          <w:rFonts w:ascii="Times New Roman" w:hAnsi="Times New Roman" w:eastAsia="Times New Roman"/>
          <w:b/>
          <w:i w:val="0"/>
          <w:color w:val="1F2F6D"/>
          <w:sz w:val="24"/>
        </w:rPr>
        <w:t>4. CONTEXTE STRATÉGIQUE</w:t>
      </w:r>
    </w:p>
    <w:p>
      <w:pPr>
        <w:spacing w:line="360" w:lineRule="auto" w:before="0" w:after="120"/>
        <w:jc w:val="both"/>
      </w:pPr>
      <w:r>
        <w:rPr>
          <w:rFonts w:ascii="Times New Roman" w:hAnsi="Times New Roman" w:eastAsia="Times New Roman"/>
          <w:b w:val="0"/>
          <w:i w:val="0"/>
          <w:sz w:val="24"/>
        </w:rPr>
        <w:t>L’intelligence artificielle transforme profondément les chaînes de valeur, les métiers, les modèles économiques et les politiques publiques. Elle redéfinit la manière de produire, d’apprendre, de diagnostiquer, d’administrer, de financer, de transporter, de communiquer et de gouverner.</w:t>
      </w:r>
    </w:p>
    <w:p>
      <w:pPr>
        <w:spacing w:line="360" w:lineRule="auto" w:before="0" w:after="120"/>
        <w:jc w:val="both"/>
      </w:pPr>
      <w:r>
        <w:rPr>
          <w:rFonts w:ascii="Times New Roman" w:hAnsi="Times New Roman" w:eastAsia="Times New Roman"/>
          <w:b w:val="0"/>
          <w:i w:val="0"/>
          <w:sz w:val="24"/>
        </w:rPr>
        <w:t>Pour le Cameroun, l’enjeu est double. Il s’agit d’abord de tirer parti des opportunités offertes par l’IA pour accélérer le développement économique, améliorer la performance des services publics, renforcer la compétitivité des entreprises et soutenir l’innovation locale. Il s’agit ensuite de construire les conditions d’une adoption responsable : disponibilité des données, compétences, infrastructures numériques, cadre juridique, éthique, protection des citoyens, lutte contre les biais, cybersécurité et souveraineté numérique.</w:t>
      </w:r>
    </w:p>
    <w:p>
      <w:pPr>
        <w:spacing w:line="360" w:lineRule="auto" w:before="0" w:after="120"/>
        <w:jc w:val="both"/>
      </w:pPr>
      <w:r>
        <w:rPr>
          <w:rFonts w:ascii="Times New Roman" w:hAnsi="Times New Roman" w:eastAsia="Times New Roman"/>
          <w:b w:val="0"/>
          <w:i w:val="0"/>
          <w:sz w:val="24"/>
        </w:rPr>
        <w:t>Les JCIA 2025 se sont inscrites dans cette perspective. Elles ont été conçues comme un espace de dialogue entre technologie et développement, entre innovation et régulation, entre ambition économique et responsabilité sociale. Le thème de l’édition portait ainsi une orientation claire : faire de l’IA un instrument de transformation concrète, au service de l’économie nationale et du progrès collectif.</w:t>
      </w:r>
    </w:p>
    <w:p>
      <w:pPr>
        <w:spacing w:before="240" w:after="120" w:line="360" w:lineRule="auto"/>
        <w:jc w:val="left"/>
      </w:pPr>
      <w:r>
        <w:rPr>
          <w:rFonts w:ascii="Times New Roman" w:hAnsi="Times New Roman" w:eastAsia="Times New Roman"/>
          <w:b/>
          <w:i w:val="0"/>
          <w:color w:val="1F2F6D"/>
          <w:sz w:val="24"/>
        </w:rPr>
        <w:t>5. OBJECTIFS DE LA DEUXIÈME ÉDITION</w:t>
      </w:r>
    </w:p>
    <w:p>
      <w:pPr>
        <w:pStyle w:val="ListBullet"/>
        <w:spacing w:line="360" w:lineRule="auto" w:after="60"/>
        <w:jc w:val="both"/>
      </w:pPr>
      <w:r>
        <w:rPr>
          <w:rFonts w:ascii="Times New Roman" w:hAnsi="Times New Roman" w:eastAsia="Times New Roman"/>
          <w:sz w:val="24"/>
        </w:rPr>
        <w:t>Renforcer la compréhension de l’intelligence artificielle par les décideurs publics, les entreprises, les jeunes, les chercheurs, les médias et le grand public.</w:t>
      </w:r>
    </w:p>
    <w:p>
      <w:pPr>
        <w:pStyle w:val="ListBullet"/>
        <w:spacing w:line="360" w:lineRule="auto" w:after="60"/>
        <w:jc w:val="both"/>
      </w:pPr>
      <w:r>
        <w:rPr>
          <w:rFonts w:ascii="Times New Roman" w:hAnsi="Times New Roman" w:eastAsia="Times New Roman"/>
          <w:sz w:val="24"/>
        </w:rPr>
        <w:t>Stimuler l’innovation locale en donnant une visibilité aux startups, aux projets de recherche, aux solutions numériques et aux initiatives entrepreneuriales capables de répondre à des besoins réels.</w:t>
      </w:r>
    </w:p>
    <w:p>
      <w:pPr>
        <w:pStyle w:val="ListBullet"/>
        <w:spacing w:line="360" w:lineRule="auto" w:after="60"/>
        <w:jc w:val="both"/>
      </w:pPr>
      <w:r>
        <w:rPr>
          <w:rFonts w:ascii="Times New Roman" w:hAnsi="Times New Roman" w:eastAsia="Times New Roman"/>
          <w:sz w:val="24"/>
        </w:rPr>
        <w:t>Favoriser les synergies entre administrations, universités, entreprises, incubateurs, investisseurs, partenaires internationaux et communautés technologiques.</w:t>
      </w:r>
    </w:p>
    <w:p>
      <w:pPr>
        <w:pStyle w:val="ListBullet"/>
        <w:spacing w:line="360" w:lineRule="auto" w:after="60"/>
        <w:jc w:val="both"/>
      </w:pPr>
      <w:r>
        <w:rPr>
          <w:rFonts w:ascii="Times New Roman" w:hAnsi="Times New Roman" w:eastAsia="Times New Roman"/>
          <w:sz w:val="24"/>
        </w:rPr>
        <w:t>Promouvoir une intelligence artificielle responsable, inclusive et éthique, adaptée aux réalités camerounaises.</w:t>
      </w:r>
    </w:p>
    <w:p>
      <w:pPr>
        <w:pStyle w:val="ListBullet"/>
        <w:spacing w:line="360" w:lineRule="auto" w:after="60"/>
        <w:jc w:val="both"/>
      </w:pPr>
      <w:r>
        <w:rPr>
          <w:rFonts w:ascii="Times New Roman" w:hAnsi="Times New Roman" w:eastAsia="Times New Roman"/>
          <w:sz w:val="24"/>
        </w:rPr>
        <w:t>Contribuer à l’émergence d’une stratégie nationale cohérente, capable de soutenir la formation, la recherche, l’investissement, l’innovation, la réglementation et l’adoption sectorielle de l’IA.</w:t>
      </w:r>
    </w:p>
    <w:p>
      <w:pPr>
        <w:spacing w:before="240" w:after="120" w:line="360" w:lineRule="auto"/>
        <w:jc w:val="left"/>
      </w:pPr>
      <w:r>
        <w:rPr>
          <w:rFonts w:ascii="Times New Roman" w:hAnsi="Times New Roman" w:eastAsia="Times New Roman"/>
          <w:b/>
          <w:i w:val="0"/>
          <w:color w:val="1F2F6D"/>
          <w:sz w:val="24"/>
        </w:rPr>
        <w:t>6. ARCHITECTURE GÉNÉRALE ET DÉROULÉ DE L’ÉVÉNEMENT</w:t>
      </w:r>
    </w:p>
    <w:p>
      <w:pPr>
        <w:spacing w:line="360" w:lineRule="auto" w:before="0" w:after="120"/>
        <w:jc w:val="both"/>
      </w:pPr>
      <w:r>
        <w:rPr>
          <w:rFonts w:ascii="Times New Roman" w:hAnsi="Times New Roman" w:eastAsia="Times New Roman"/>
          <w:b w:val="0"/>
          <w:i w:val="0"/>
          <w:sz w:val="24"/>
        </w:rPr>
        <w:t>La deuxième édition des JCIA a été pensée comme un parcours d’expérience. Chaque journée répondait à une fonction précise : ouvrir le débat stratégique, exposer les solutions, former les participants, reconnaître les talents, produire des recommandations et connecter les acteurs.</w:t>
      </w:r>
    </w:p>
    <w:p>
      <w:pPr>
        <w:spacing w:before="200" w:after="80" w:line="360" w:lineRule="auto"/>
        <w:jc w:val="both"/>
      </w:pPr>
      <w:r>
        <w:rPr>
          <w:rFonts w:ascii="Times New Roman" w:hAnsi="Times New Roman" w:eastAsia="Times New Roman"/>
          <w:b/>
          <w:i w:val="0"/>
          <w:color w:val="1F2F6D"/>
          <w:sz w:val="24"/>
        </w:rPr>
        <w:t>Jour 1 — Hilton Hôtel, Salle Bouma, 22 avril 2025</w:t>
      </w:r>
    </w:p>
    <w:tbl>
      <w:tblPr>
        <w:tblStyle w:val="TableGrid"/>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247"/>
        <w:gridCol w:w="7824"/>
      </w:tblGrid>
      <w:tr>
        <w:trPr>
          <w:tblHeader w:val="true"/>
        </w:trPr>
        <w:tc>
          <w:tcPr>
            <w:tcW w:type="dxa" w:w="1247"/>
            <w:vAlign w:val="center"/>
            <w:shd w:fill="1F2F6D"/>
          </w:tcPr>
          <w:p>
            <w:pPr>
              <w:spacing w:line="360" w:lineRule="auto"/>
              <w:jc w:val="center"/>
            </w:pPr>
            <w:r/>
            <w:r>
              <w:rPr>
                <w:rFonts w:ascii="Times New Roman" w:hAnsi="Times New Roman" w:eastAsia="Times New Roman"/>
                <w:b/>
                <w:color w:val="FFFFFF"/>
                <w:sz w:val="24"/>
              </w:rPr>
              <w:t>Heure</w:t>
            </w:r>
          </w:p>
        </w:tc>
        <w:tc>
          <w:tcPr>
            <w:tcW w:type="dxa" w:w="7824"/>
            <w:vAlign w:val="center"/>
            <w:shd w:fill="1F2F6D"/>
          </w:tcPr>
          <w:p>
            <w:pPr>
              <w:spacing w:line="360" w:lineRule="auto"/>
              <w:jc w:val="left"/>
            </w:pPr>
            <w:r/>
            <w:r>
              <w:rPr>
                <w:rFonts w:ascii="Times New Roman" w:hAnsi="Times New Roman" w:eastAsia="Times New Roman"/>
                <w:b/>
                <w:color w:val="FFFFFF"/>
                <w:sz w:val="24"/>
              </w:rPr>
              <w:t>Activité</w:t>
            </w:r>
          </w:p>
        </w:tc>
      </w:tr>
      <w:tr>
        <w:tc>
          <w:tcPr>
            <w:tcW w:type="dxa" w:w="1247"/>
            <w:vAlign w:val="center"/>
            <w:shd w:fill="F29B38"/>
          </w:tcPr>
          <w:p>
            <w:pPr>
              <w:spacing w:line="360" w:lineRule="auto"/>
              <w:jc w:val="center"/>
            </w:pPr>
            <w:r/>
            <w:r>
              <w:rPr>
                <w:rFonts w:ascii="Times New Roman" w:hAnsi="Times New Roman" w:eastAsia="Times New Roman"/>
                <w:b/>
                <w:sz w:val="24"/>
              </w:rPr>
              <w:t>08h00</w:t>
            </w:r>
          </w:p>
        </w:tc>
        <w:tc>
          <w:tcPr>
            <w:tcW w:type="dxa" w:w="7824"/>
            <w:vAlign w:val="center"/>
          </w:tcPr>
          <w:p>
            <w:pPr>
              <w:spacing w:line="360" w:lineRule="auto"/>
              <w:jc w:val="left"/>
            </w:pPr>
            <w:r/>
            <w:r>
              <w:rPr>
                <w:rFonts w:ascii="Times New Roman" w:hAnsi="Times New Roman" w:eastAsia="Times New Roman"/>
                <w:b w:val="0"/>
                <w:sz w:val="24"/>
              </w:rPr>
              <w:t>Accueil et inscriptions des participants.</w:t>
            </w:r>
          </w:p>
        </w:tc>
      </w:tr>
      <w:tr>
        <w:tc>
          <w:tcPr>
            <w:tcW w:type="dxa" w:w="1247"/>
            <w:vAlign w:val="center"/>
            <w:shd w:fill="F29B38"/>
          </w:tcPr>
          <w:p>
            <w:pPr>
              <w:spacing w:line="360" w:lineRule="auto"/>
              <w:jc w:val="center"/>
            </w:pPr>
            <w:r/>
            <w:r>
              <w:rPr>
                <w:rFonts w:ascii="Times New Roman" w:hAnsi="Times New Roman" w:eastAsia="Times New Roman"/>
                <w:b/>
                <w:sz w:val="24"/>
              </w:rPr>
              <w:t>09h45</w:t>
            </w:r>
          </w:p>
        </w:tc>
        <w:tc>
          <w:tcPr>
            <w:tcW w:type="dxa" w:w="7824"/>
            <w:vAlign w:val="center"/>
          </w:tcPr>
          <w:p>
            <w:pPr>
              <w:spacing w:line="360" w:lineRule="auto"/>
              <w:jc w:val="left"/>
            </w:pPr>
            <w:r/>
            <w:r>
              <w:rPr>
                <w:rFonts w:ascii="Times New Roman" w:hAnsi="Times New Roman" w:eastAsia="Times New Roman"/>
                <w:b w:val="0"/>
                <w:sz w:val="24"/>
              </w:rPr>
              <w:t>Accueil des chefs d’établissements, d’entreprises et invités spéciaux.</w:t>
            </w:r>
          </w:p>
        </w:tc>
      </w:tr>
      <w:tr>
        <w:tc>
          <w:tcPr>
            <w:tcW w:type="dxa" w:w="1247"/>
            <w:vAlign w:val="center"/>
            <w:shd w:fill="F29B38"/>
          </w:tcPr>
          <w:p>
            <w:pPr>
              <w:spacing w:line="360" w:lineRule="auto"/>
              <w:jc w:val="center"/>
            </w:pPr>
            <w:r/>
            <w:r>
              <w:rPr>
                <w:rFonts w:ascii="Times New Roman" w:hAnsi="Times New Roman" w:eastAsia="Times New Roman"/>
                <w:b/>
                <w:sz w:val="24"/>
              </w:rPr>
              <w:t>09h50</w:t>
            </w:r>
          </w:p>
        </w:tc>
        <w:tc>
          <w:tcPr>
            <w:tcW w:type="dxa" w:w="7824"/>
            <w:vAlign w:val="center"/>
          </w:tcPr>
          <w:p>
            <w:pPr>
              <w:spacing w:line="360" w:lineRule="auto"/>
              <w:jc w:val="left"/>
            </w:pPr>
            <w:r/>
            <w:r>
              <w:rPr>
                <w:rFonts w:ascii="Times New Roman" w:hAnsi="Times New Roman" w:eastAsia="Times New Roman"/>
                <w:b w:val="0"/>
                <w:sz w:val="24"/>
              </w:rPr>
              <w:t>Accueil des chefs des institutions diplomatiques.</w:t>
            </w:r>
          </w:p>
        </w:tc>
      </w:tr>
      <w:tr>
        <w:tc>
          <w:tcPr>
            <w:tcW w:type="dxa" w:w="1247"/>
            <w:vAlign w:val="center"/>
            <w:shd w:fill="F29B38"/>
          </w:tcPr>
          <w:p>
            <w:pPr>
              <w:spacing w:line="360" w:lineRule="auto"/>
              <w:jc w:val="center"/>
            </w:pPr>
            <w:r/>
            <w:r>
              <w:rPr>
                <w:rFonts w:ascii="Times New Roman" w:hAnsi="Times New Roman" w:eastAsia="Times New Roman"/>
                <w:b/>
                <w:sz w:val="24"/>
              </w:rPr>
              <w:t>09h55</w:t>
            </w:r>
          </w:p>
        </w:tc>
        <w:tc>
          <w:tcPr>
            <w:tcW w:type="dxa" w:w="7824"/>
            <w:vAlign w:val="center"/>
          </w:tcPr>
          <w:p>
            <w:pPr>
              <w:spacing w:line="360" w:lineRule="auto"/>
              <w:jc w:val="left"/>
            </w:pPr>
            <w:r/>
            <w:r>
              <w:rPr>
                <w:rFonts w:ascii="Times New Roman" w:hAnsi="Times New Roman" w:eastAsia="Times New Roman"/>
                <w:b w:val="0"/>
                <w:sz w:val="24"/>
              </w:rPr>
              <w:t>Arrivée des membres du gouvernement.</w:t>
            </w:r>
          </w:p>
        </w:tc>
      </w:tr>
      <w:tr>
        <w:tc>
          <w:tcPr>
            <w:tcW w:type="dxa" w:w="1247"/>
            <w:vAlign w:val="center"/>
            <w:shd w:fill="F29B38"/>
          </w:tcPr>
          <w:p>
            <w:pPr>
              <w:spacing w:line="360" w:lineRule="auto"/>
              <w:jc w:val="center"/>
            </w:pPr>
            <w:r/>
            <w:r>
              <w:rPr>
                <w:rFonts w:ascii="Times New Roman" w:hAnsi="Times New Roman" w:eastAsia="Times New Roman"/>
                <w:b/>
                <w:sz w:val="24"/>
              </w:rPr>
              <w:t>10h00</w:t>
            </w:r>
          </w:p>
        </w:tc>
        <w:tc>
          <w:tcPr>
            <w:tcW w:type="dxa" w:w="7824"/>
            <w:vAlign w:val="center"/>
          </w:tcPr>
          <w:p>
            <w:pPr>
              <w:spacing w:line="360" w:lineRule="auto"/>
              <w:jc w:val="left"/>
            </w:pPr>
            <w:r/>
            <w:r>
              <w:rPr>
                <w:rFonts w:ascii="Times New Roman" w:hAnsi="Times New Roman" w:eastAsia="Times New Roman"/>
                <w:b w:val="0"/>
                <w:sz w:val="24"/>
              </w:rPr>
              <w:t>Début de la cérémonie : hymne national, mot de bienvenue de Boris Landry Kouekam, intervention du Dr Patrick Seumen, conférence inaugurale du Prof Ebénézer Njoh Mouelle sur « Le pouvoir d’État et la mise en œuvre de l’IA en Afrique », pause spot annonceurs.</w:t>
            </w:r>
          </w:p>
        </w:tc>
      </w:tr>
      <w:tr>
        <w:tc>
          <w:tcPr>
            <w:tcW w:type="dxa" w:w="1247"/>
            <w:vAlign w:val="center"/>
            <w:shd w:fill="F29B38"/>
          </w:tcPr>
          <w:p>
            <w:pPr>
              <w:spacing w:line="360" w:lineRule="auto"/>
              <w:jc w:val="center"/>
            </w:pPr>
            <w:r/>
            <w:r>
              <w:rPr>
                <w:rFonts w:ascii="Times New Roman" w:hAnsi="Times New Roman" w:eastAsia="Times New Roman"/>
                <w:b/>
                <w:sz w:val="24"/>
              </w:rPr>
              <w:t>10h40</w:t>
            </w:r>
          </w:p>
        </w:tc>
        <w:tc>
          <w:tcPr>
            <w:tcW w:type="dxa" w:w="7824"/>
            <w:vAlign w:val="center"/>
          </w:tcPr>
          <w:p>
            <w:pPr>
              <w:spacing w:line="360" w:lineRule="auto"/>
              <w:jc w:val="left"/>
            </w:pPr>
            <w:r/>
            <w:r>
              <w:rPr>
                <w:rFonts w:ascii="Times New Roman" w:hAnsi="Times New Roman" w:eastAsia="Times New Roman"/>
                <w:b w:val="0"/>
                <w:sz w:val="24"/>
              </w:rPr>
              <w:t>Présentation pratique de « Witness », solution de vidéosurveillance augmentée par IA, par Dr Ifriky Tadadjeu, Founder, Nanosatellite Missions Design LTD.</w:t>
            </w:r>
          </w:p>
        </w:tc>
      </w:tr>
      <w:tr>
        <w:tc>
          <w:tcPr>
            <w:tcW w:type="dxa" w:w="1247"/>
            <w:vAlign w:val="center"/>
            <w:shd w:fill="F29B38"/>
          </w:tcPr>
          <w:p>
            <w:pPr>
              <w:spacing w:line="360" w:lineRule="auto"/>
              <w:jc w:val="center"/>
            </w:pPr>
            <w:r/>
            <w:r>
              <w:rPr>
                <w:rFonts w:ascii="Times New Roman" w:hAnsi="Times New Roman" w:eastAsia="Times New Roman"/>
                <w:b/>
                <w:sz w:val="24"/>
              </w:rPr>
              <w:t>10h50</w:t>
            </w:r>
          </w:p>
        </w:tc>
        <w:tc>
          <w:tcPr>
            <w:tcW w:type="dxa" w:w="7824"/>
            <w:vAlign w:val="center"/>
          </w:tcPr>
          <w:p>
            <w:pPr>
              <w:spacing w:line="360" w:lineRule="auto"/>
              <w:jc w:val="left"/>
            </w:pPr>
            <w:r/>
            <w:r>
              <w:rPr>
                <w:rFonts w:ascii="Times New Roman" w:hAnsi="Times New Roman" w:eastAsia="Times New Roman"/>
                <w:b w:val="0"/>
                <w:sz w:val="24"/>
              </w:rPr>
              <w:t>Présentation pratique PAKAZURE : démonstration de « Seavantis », IA appliquée à la logistique maritime, par Hollande Mangala et Arthur Effa.</w:t>
            </w:r>
          </w:p>
        </w:tc>
      </w:tr>
      <w:tr>
        <w:tc>
          <w:tcPr>
            <w:tcW w:type="dxa" w:w="1247"/>
            <w:vAlign w:val="center"/>
            <w:shd w:fill="F29B38"/>
          </w:tcPr>
          <w:p>
            <w:pPr>
              <w:spacing w:line="360" w:lineRule="auto"/>
              <w:jc w:val="center"/>
            </w:pPr>
            <w:r/>
            <w:r>
              <w:rPr>
                <w:rFonts w:ascii="Times New Roman" w:hAnsi="Times New Roman" w:eastAsia="Times New Roman"/>
                <w:b/>
                <w:sz w:val="24"/>
              </w:rPr>
              <w:t>11h00</w:t>
            </w:r>
          </w:p>
        </w:tc>
        <w:tc>
          <w:tcPr>
            <w:tcW w:type="dxa" w:w="7824"/>
            <w:vAlign w:val="center"/>
          </w:tcPr>
          <w:p>
            <w:pPr>
              <w:spacing w:line="360" w:lineRule="auto"/>
              <w:jc w:val="left"/>
            </w:pPr>
            <w:r/>
            <w:r>
              <w:rPr>
                <w:rFonts w:ascii="Times New Roman" w:hAnsi="Times New Roman" w:eastAsia="Times New Roman"/>
                <w:b w:val="0"/>
                <w:sz w:val="24"/>
              </w:rPr>
              <w:t>Keynote d’Alain Claude Bah Essem, Nexus Cloud Technologies, Royaume-Uni, sur « Façonner l’avenir de la fintech et de Salesforce grâce à l’innovation alimentée par l’IA ».</w:t>
            </w:r>
          </w:p>
        </w:tc>
      </w:tr>
      <w:tr>
        <w:tc>
          <w:tcPr>
            <w:tcW w:type="dxa" w:w="1247"/>
            <w:vAlign w:val="center"/>
            <w:shd w:fill="F29B38"/>
          </w:tcPr>
          <w:p>
            <w:pPr>
              <w:spacing w:line="360" w:lineRule="auto"/>
              <w:jc w:val="center"/>
            </w:pPr>
            <w:r/>
            <w:r>
              <w:rPr>
                <w:rFonts w:ascii="Times New Roman" w:hAnsi="Times New Roman" w:eastAsia="Times New Roman"/>
                <w:b/>
                <w:sz w:val="24"/>
              </w:rPr>
              <w:t>11h10</w:t>
            </w:r>
          </w:p>
        </w:tc>
        <w:tc>
          <w:tcPr>
            <w:tcW w:type="dxa" w:w="7824"/>
            <w:vAlign w:val="center"/>
          </w:tcPr>
          <w:p>
            <w:pPr>
              <w:spacing w:line="360" w:lineRule="auto"/>
              <w:jc w:val="left"/>
            </w:pPr>
            <w:r/>
            <w:r>
              <w:rPr>
                <w:rFonts w:ascii="Times New Roman" w:hAnsi="Times New Roman" w:eastAsia="Times New Roman"/>
                <w:b w:val="0"/>
                <w:sz w:val="24"/>
              </w:rPr>
              <w:t>Lecture des récompenses des Cameroon Artificial Intelligence Awards 2025 par le Prof Franklin Tchakounté, Président de la Commission Scientifique des JCIA 2025.</w:t>
            </w:r>
          </w:p>
        </w:tc>
      </w:tr>
      <w:tr>
        <w:tc>
          <w:tcPr>
            <w:tcW w:type="dxa" w:w="1247"/>
            <w:vAlign w:val="center"/>
            <w:shd w:fill="F29B38"/>
          </w:tcPr>
          <w:p>
            <w:pPr>
              <w:spacing w:line="360" w:lineRule="auto"/>
              <w:jc w:val="center"/>
            </w:pPr>
            <w:r/>
            <w:r>
              <w:rPr>
                <w:rFonts w:ascii="Times New Roman" w:hAnsi="Times New Roman" w:eastAsia="Times New Roman"/>
                <w:b/>
                <w:sz w:val="24"/>
              </w:rPr>
              <w:t>11h30</w:t>
            </w:r>
          </w:p>
        </w:tc>
        <w:tc>
          <w:tcPr>
            <w:tcW w:type="dxa" w:w="7824"/>
            <w:vAlign w:val="center"/>
          </w:tcPr>
          <w:p>
            <w:pPr>
              <w:spacing w:line="360" w:lineRule="auto"/>
              <w:jc w:val="left"/>
            </w:pPr>
            <w:r/>
            <w:r>
              <w:rPr>
                <w:rFonts w:ascii="Times New Roman" w:hAnsi="Times New Roman" w:eastAsia="Times New Roman"/>
                <w:b w:val="0"/>
                <w:sz w:val="24"/>
              </w:rPr>
              <w:t>Discours du Pr Laurent Serge Etoundi Ngoa, Président de la Commission Nationale de l’UNESCO.</w:t>
            </w:r>
          </w:p>
        </w:tc>
      </w:tr>
      <w:tr>
        <w:tc>
          <w:tcPr>
            <w:tcW w:type="dxa" w:w="1247"/>
            <w:vAlign w:val="center"/>
            <w:shd w:fill="F29B38"/>
          </w:tcPr>
          <w:p>
            <w:pPr>
              <w:spacing w:line="360" w:lineRule="auto"/>
              <w:jc w:val="center"/>
            </w:pPr>
            <w:r/>
            <w:r>
              <w:rPr>
                <w:rFonts w:ascii="Times New Roman" w:hAnsi="Times New Roman" w:eastAsia="Times New Roman"/>
                <w:b/>
                <w:sz w:val="24"/>
              </w:rPr>
              <w:t>11h40</w:t>
            </w:r>
          </w:p>
        </w:tc>
        <w:tc>
          <w:tcPr>
            <w:tcW w:type="dxa" w:w="7824"/>
            <w:vAlign w:val="center"/>
          </w:tcPr>
          <w:p>
            <w:pPr>
              <w:spacing w:line="360" w:lineRule="auto"/>
              <w:jc w:val="left"/>
            </w:pPr>
            <w:r/>
            <w:r>
              <w:rPr>
                <w:rFonts w:ascii="Times New Roman" w:hAnsi="Times New Roman" w:eastAsia="Times New Roman"/>
                <w:b w:val="0"/>
                <w:sz w:val="24"/>
              </w:rPr>
              <w:t>Intervention institutionnelle du Ministère des Postes et Télécommunications marquant l’ouverture solennelle des JCIA 2025.</w:t>
            </w:r>
          </w:p>
        </w:tc>
      </w:tr>
      <w:tr>
        <w:tc>
          <w:tcPr>
            <w:tcW w:type="dxa" w:w="1247"/>
            <w:vAlign w:val="center"/>
            <w:shd w:fill="F29B38"/>
          </w:tcPr>
          <w:p>
            <w:pPr>
              <w:spacing w:line="360" w:lineRule="auto"/>
              <w:jc w:val="center"/>
            </w:pPr>
            <w:r/>
            <w:r>
              <w:rPr>
                <w:rFonts w:ascii="Times New Roman" w:hAnsi="Times New Roman" w:eastAsia="Times New Roman"/>
                <w:b/>
                <w:sz w:val="24"/>
              </w:rPr>
              <w:t>11h55</w:t>
            </w:r>
          </w:p>
        </w:tc>
        <w:tc>
          <w:tcPr>
            <w:tcW w:type="dxa" w:w="7824"/>
            <w:vAlign w:val="center"/>
          </w:tcPr>
          <w:p>
            <w:pPr>
              <w:spacing w:line="360" w:lineRule="auto"/>
              <w:jc w:val="left"/>
            </w:pPr>
            <w:r/>
            <w:r>
              <w:rPr>
                <w:rFonts w:ascii="Times New Roman" w:hAnsi="Times New Roman" w:eastAsia="Times New Roman"/>
                <w:b w:val="0"/>
                <w:sz w:val="24"/>
              </w:rPr>
              <w:t>Fin de la cérémonie protocolaire d’ouverture et photo de famille.</w:t>
            </w:r>
          </w:p>
        </w:tc>
      </w:tr>
      <w:tr>
        <w:tc>
          <w:tcPr>
            <w:tcW w:type="dxa" w:w="1247"/>
            <w:vAlign w:val="center"/>
            <w:shd w:fill="F29B38"/>
          </w:tcPr>
          <w:p>
            <w:pPr>
              <w:spacing w:line="360" w:lineRule="auto"/>
              <w:jc w:val="center"/>
            </w:pPr>
            <w:r/>
            <w:r>
              <w:rPr>
                <w:rFonts w:ascii="Times New Roman" w:hAnsi="Times New Roman" w:eastAsia="Times New Roman"/>
                <w:b/>
                <w:sz w:val="24"/>
              </w:rPr>
              <w:t>12h00</w:t>
            </w:r>
          </w:p>
        </w:tc>
        <w:tc>
          <w:tcPr>
            <w:tcW w:type="dxa" w:w="7824"/>
            <w:vAlign w:val="center"/>
          </w:tcPr>
          <w:p>
            <w:pPr>
              <w:spacing w:line="360" w:lineRule="auto"/>
              <w:jc w:val="left"/>
            </w:pPr>
            <w:r/>
            <w:r>
              <w:rPr>
                <w:rFonts w:ascii="Times New Roman" w:hAnsi="Times New Roman" w:eastAsia="Times New Roman"/>
                <w:b w:val="0"/>
                <w:sz w:val="24"/>
              </w:rPr>
              <w:t>Ouverture et visite du Salon d’exposition 100 % IA.</w:t>
            </w:r>
          </w:p>
        </w:tc>
      </w:tr>
      <w:tr>
        <w:tc>
          <w:tcPr>
            <w:tcW w:type="dxa" w:w="1247"/>
            <w:vAlign w:val="center"/>
            <w:shd w:fill="F29B38"/>
          </w:tcPr>
          <w:p>
            <w:pPr>
              <w:spacing w:line="360" w:lineRule="auto"/>
              <w:jc w:val="center"/>
            </w:pPr>
            <w:r/>
            <w:r>
              <w:rPr>
                <w:rFonts w:ascii="Times New Roman" w:hAnsi="Times New Roman" w:eastAsia="Times New Roman"/>
                <w:b/>
                <w:sz w:val="24"/>
              </w:rPr>
              <w:t>13h00</w:t>
            </w:r>
          </w:p>
        </w:tc>
        <w:tc>
          <w:tcPr>
            <w:tcW w:type="dxa" w:w="7824"/>
            <w:vAlign w:val="center"/>
          </w:tcPr>
          <w:p>
            <w:pPr>
              <w:spacing w:line="360" w:lineRule="auto"/>
              <w:jc w:val="left"/>
            </w:pPr>
            <w:r/>
            <w:r>
              <w:rPr>
                <w:rFonts w:ascii="Times New Roman" w:hAnsi="Times New Roman" w:eastAsia="Times New Roman"/>
                <w:b w:val="0"/>
                <w:sz w:val="24"/>
              </w:rPr>
              <w:t>Cocktail.</w:t>
            </w:r>
          </w:p>
        </w:tc>
      </w:tr>
      <w:tr>
        <w:tc>
          <w:tcPr>
            <w:tcW w:type="dxa" w:w="1247"/>
            <w:vAlign w:val="center"/>
            <w:shd w:fill="F29B38"/>
          </w:tcPr>
          <w:p>
            <w:pPr>
              <w:spacing w:line="360" w:lineRule="auto"/>
              <w:jc w:val="center"/>
            </w:pPr>
            <w:r/>
            <w:r>
              <w:rPr>
                <w:rFonts w:ascii="Times New Roman" w:hAnsi="Times New Roman" w:eastAsia="Times New Roman"/>
                <w:b/>
                <w:sz w:val="24"/>
              </w:rPr>
              <w:t>14h00</w:t>
            </w:r>
          </w:p>
        </w:tc>
        <w:tc>
          <w:tcPr>
            <w:tcW w:type="dxa" w:w="7824"/>
            <w:vAlign w:val="center"/>
          </w:tcPr>
          <w:p>
            <w:pPr>
              <w:spacing w:line="360" w:lineRule="auto"/>
              <w:jc w:val="left"/>
            </w:pPr>
            <w:r/>
            <w:r>
              <w:rPr>
                <w:rFonts w:ascii="Times New Roman" w:hAnsi="Times New Roman" w:eastAsia="Times New Roman"/>
                <w:b w:val="0"/>
                <w:sz w:val="24"/>
              </w:rPr>
              <w:t>Conférence inaugurale : « Intelligence Artificielle, pilier de l’économie numérique : avancées, freins, perspectives », avec Pr Longin Colbert Eloundou, Mme Christelle Peyran, Dr Guy Gweth, Dr Denis Ngae et Henri Kouam, modérateur.</w:t>
            </w:r>
          </w:p>
        </w:tc>
      </w:tr>
      <w:tr>
        <w:tc>
          <w:tcPr>
            <w:tcW w:type="dxa" w:w="1247"/>
            <w:vAlign w:val="center"/>
            <w:shd w:fill="F29B38"/>
          </w:tcPr>
          <w:p>
            <w:pPr>
              <w:spacing w:line="360" w:lineRule="auto"/>
              <w:jc w:val="center"/>
            </w:pPr>
            <w:r/>
            <w:r>
              <w:rPr>
                <w:rFonts w:ascii="Times New Roman" w:hAnsi="Times New Roman" w:eastAsia="Times New Roman"/>
                <w:b/>
                <w:sz w:val="24"/>
              </w:rPr>
              <w:t>15h00</w:t>
            </w:r>
          </w:p>
        </w:tc>
        <w:tc>
          <w:tcPr>
            <w:tcW w:type="dxa" w:w="7824"/>
            <w:vAlign w:val="center"/>
          </w:tcPr>
          <w:p>
            <w:pPr>
              <w:spacing w:line="360" w:lineRule="auto"/>
              <w:jc w:val="left"/>
            </w:pPr>
            <w:r/>
            <w:r>
              <w:rPr>
                <w:rFonts w:ascii="Times New Roman" w:hAnsi="Times New Roman" w:eastAsia="Times New Roman"/>
                <w:b w:val="0"/>
                <w:sz w:val="24"/>
              </w:rPr>
              <w:t>Conférence : « Intelligences éducatives pour une Intelligence Artificielle contrôlée et maîtrisée au Cameroun : essais de réflexions », avec Pr Fleur Nadine Mvondo, Dr Patrick Seumen, Dr Ifriky Tadadjeu et Pr Bernabé Batchakui.</w:t>
            </w:r>
          </w:p>
        </w:tc>
      </w:tr>
      <w:tr>
        <w:tc>
          <w:tcPr>
            <w:tcW w:type="dxa" w:w="1247"/>
            <w:vAlign w:val="center"/>
            <w:shd w:fill="F29B38"/>
          </w:tcPr>
          <w:p>
            <w:pPr>
              <w:spacing w:line="360" w:lineRule="auto"/>
              <w:jc w:val="center"/>
            </w:pPr>
            <w:r/>
            <w:r>
              <w:rPr>
                <w:rFonts w:ascii="Times New Roman" w:hAnsi="Times New Roman" w:eastAsia="Times New Roman"/>
                <w:b/>
                <w:sz w:val="24"/>
              </w:rPr>
              <w:t>16h00</w:t>
            </w:r>
          </w:p>
        </w:tc>
        <w:tc>
          <w:tcPr>
            <w:tcW w:type="dxa" w:w="7824"/>
            <w:vAlign w:val="center"/>
          </w:tcPr>
          <w:p>
            <w:pPr>
              <w:spacing w:line="360" w:lineRule="auto"/>
              <w:jc w:val="left"/>
            </w:pPr>
            <w:r/>
            <w:r>
              <w:rPr>
                <w:rFonts w:ascii="Times New Roman" w:hAnsi="Times New Roman" w:eastAsia="Times New Roman"/>
                <w:b w:val="0"/>
                <w:sz w:val="24"/>
              </w:rPr>
              <w:t>Fin de la première journée.</w:t>
            </w:r>
          </w:p>
        </w:tc>
      </w:tr>
    </w:tbl>
    <w:tbl>
      <w:tblPr>
        <w:tblW w:type="auto" w:w="0"/>
        <w:jc w:val="center"/>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184"/>
      </w:tblGrid>
      <w:tr>
        <w:tc>
          <w:tcPr>
            <w:tcW w:type="dxa" w:w="9184"/>
            <w:shd w:fill="F2F2F2"/>
          </w:tcPr>
          <w:p>
            <w:pPr>
              <w:spacing w:line="360" w:lineRule="auto" w:before="360" w:after="360"/>
              <w:jc w:val="center"/>
            </w:pPr>
            <w:r>
              <w:rPr>
                <w:rFonts w:ascii="Times New Roman" w:hAnsi="Times New Roman" w:eastAsia="Times New Roman"/>
                <w:b/>
                <w:i w:val="0"/>
                <w:color w:val="1F2F6D"/>
                <w:sz w:val="24"/>
              </w:rPr>
              <w:t xml:space="preserve">PHOTO À INSÉRER — </w:t>
            </w:r>
            <w:r>
              <w:rPr>
                <w:rFonts w:ascii="Times New Roman" w:hAnsi="Times New Roman" w:eastAsia="Times New Roman"/>
                <w:b w:val="0"/>
                <w:i/>
                <w:sz w:val="24"/>
              </w:rPr>
              <w:t>vue large de la Salle Bouma pendant la cérémonie d’ouverture, avec le public, les officiels et l’identité visuelle JCIA visibles.</w:t>
            </w:r>
          </w:p>
        </w:tc>
      </w:tr>
    </w:tbl>
    <w:p>
      <w:pPr>
        <w:spacing w:before="200" w:after="80" w:line="360" w:lineRule="auto"/>
        <w:jc w:val="both"/>
      </w:pPr>
      <w:r>
        <w:rPr>
          <w:rFonts w:ascii="Times New Roman" w:hAnsi="Times New Roman" w:eastAsia="Times New Roman"/>
          <w:b/>
          <w:i w:val="0"/>
          <w:color w:val="1F2F6D"/>
          <w:sz w:val="24"/>
        </w:rPr>
        <w:t>Jour 2 — ENSPY, Salle des Actes, 23 avril 2025</w:t>
      </w:r>
    </w:p>
    <w:tbl>
      <w:tblPr>
        <w:tblStyle w:val="TableGrid"/>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247"/>
        <w:gridCol w:w="7824"/>
      </w:tblGrid>
      <w:tr>
        <w:trPr>
          <w:tblHeader w:val="true"/>
        </w:trPr>
        <w:tc>
          <w:tcPr>
            <w:tcW w:type="dxa" w:w="1247"/>
            <w:vAlign w:val="center"/>
            <w:shd w:fill="1F2F6D"/>
          </w:tcPr>
          <w:p>
            <w:pPr>
              <w:spacing w:line="360" w:lineRule="auto"/>
              <w:jc w:val="center"/>
            </w:pPr>
            <w:r/>
            <w:r>
              <w:rPr>
                <w:rFonts w:ascii="Times New Roman" w:hAnsi="Times New Roman" w:eastAsia="Times New Roman"/>
                <w:b/>
                <w:color w:val="FFFFFF"/>
                <w:sz w:val="24"/>
              </w:rPr>
              <w:t>Heure</w:t>
            </w:r>
          </w:p>
        </w:tc>
        <w:tc>
          <w:tcPr>
            <w:tcW w:type="dxa" w:w="7824"/>
            <w:vAlign w:val="center"/>
            <w:shd w:fill="1F2F6D"/>
          </w:tcPr>
          <w:p>
            <w:pPr>
              <w:spacing w:line="360" w:lineRule="auto"/>
              <w:jc w:val="left"/>
            </w:pPr>
            <w:r/>
            <w:r>
              <w:rPr>
                <w:rFonts w:ascii="Times New Roman" w:hAnsi="Times New Roman" w:eastAsia="Times New Roman"/>
                <w:b/>
                <w:color w:val="FFFFFF"/>
                <w:sz w:val="24"/>
              </w:rPr>
              <w:t>Activité</w:t>
            </w:r>
          </w:p>
        </w:tc>
      </w:tr>
      <w:tr>
        <w:tc>
          <w:tcPr>
            <w:tcW w:type="dxa" w:w="1247"/>
            <w:vAlign w:val="center"/>
            <w:shd w:fill="F29B38"/>
          </w:tcPr>
          <w:p>
            <w:pPr>
              <w:spacing w:line="360" w:lineRule="auto"/>
              <w:jc w:val="center"/>
            </w:pPr>
            <w:r/>
            <w:r>
              <w:rPr>
                <w:rFonts w:ascii="Times New Roman" w:hAnsi="Times New Roman" w:eastAsia="Times New Roman"/>
                <w:b/>
                <w:sz w:val="24"/>
              </w:rPr>
              <w:t>08h00</w:t>
            </w:r>
          </w:p>
        </w:tc>
        <w:tc>
          <w:tcPr>
            <w:tcW w:type="dxa" w:w="7824"/>
            <w:vAlign w:val="center"/>
          </w:tcPr>
          <w:p>
            <w:pPr>
              <w:spacing w:line="360" w:lineRule="auto"/>
              <w:jc w:val="left"/>
            </w:pPr>
            <w:r/>
            <w:r>
              <w:rPr>
                <w:rFonts w:ascii="Times New Roman" w:hAnsi="Times New Roman" w:eastAsia="Times New Roman"/>
                <w:b w:val="0"/>
                <w:sz w:val="24"/>
              </w:rPr>
              <w:t>Accueil et inscriptions des participants.</w:t>
            </w:r>
          </w:p>
        </w:tc>
      </w:tr>
      <w:tr>
        <w:tc>
          <w:tcPr>
            <w:tcW w:type="dxa" w:w="1247"/>
            <w:vAlign w:val="center"/>
            <w:shd w:fill="F29B38"/>
          </w:tcPr>
          <w:p>
            <w:pPr>
              <w:spacing w:line="360" w:lineRule="auto"/>
              <w:jc w:val="center"/>
            </w:pPr>
            <w:r/>
            <w:r>
              <w:rPr>
                <w:rFonts w:ascii="Times New Roman" w:hAnsi="Times New Roman" w:eastAsia="Times New Roman"/>
                <w:b/>
                <w:sz w:val="24"/>
              </w:rPr>
              <w:t>09h45</w:t>
            </w:r>
          </w:p>
        </w:tc>
        <w:tc>
          <w:tcPr>
            <w:tcW w:type="dxa" w:w="7824"/>
            <w:vAlign w:val="center"/>
          </w:tcPr>
          <w:p>
            <w:pPr>
              <w:spacing w:line="360" w:lineRule="auto"/>
              <w:jc w:val="left"/>
            </w:pPr>
            <w:r/>
            <w:r>
              <w:rPr>
                <w:rFonts w:ascii="Times New Roman" w:hAnsi="Times New Roman" w:eastAsia="Times New Roman"/>
                <w:b w:val="0"/>
                <w:sz w:val="24"/>
              </w:rPr>
              <w:t>Accueil des chefs d’établissements, d’entreprises et invités spéciaux.</w:t>
            </w:r>
          </w:p>
        </w:tc>
      </w:tr>
      <w:tr>
        <w:tc>
          <w:tcPr>
            <w:tcW w:type="dxa" w:w="1247"/>
            <w:vAlign w:val="center"/>
            <w:shd w:fill="F29B38"/>
          </w:tcPr>
          <w:p>
            <w:pPr>
              <w:spacing w:line="360" w:lineRule="auto"/>
              <w:jc w:val="center"/>
            </w:pPr>
            <w:r/>
            <w:r>
              <w:rPr>
                <w:rFonts w:ascii="Times New Roman" w:hAnsi="Times New Roman" w:eastAsia="Times New Roman"/>
                <w:b/>
                <w:sz w:val="24"/>
              </w:rPr>
              <w:t>10h00</w:t>
            </w:r>
          </w:p>
        </w:tc>
        <w:tc>
          <w:tcPr>
            <w:tcW w:type="dxa" w:w="7824"/>
            <w:vAlign w:val="center"/>
          </w:tcPr>
          <w:p>
            <w:pPr>
              <w:spacing w:line="360" w:lineRule="auto"/>
              <w:jc w:val="left"/>
            </w:pPr>
            <w:r/>
            <w:r>
              <w:rPr>
                <w:rFonts w:ascii="Times New Roman" w:hAnsi="Times New Roman" w:eastAsia="Times New Roman"/>
                <w:b w:val="0"/>
                <w:sz w:val="24"/>
              </w:rPr>
              <w:t>Ouverture et visite du Salon d’exposition 100 % IA par le Directeur de l’École Nationale Supérieure Polytechnique de Yaoundé.</w:t>
            </w:r>
          </w:p>
        </w:tc>
      </w:tr>
      <w:tr>
        <w:tc>
          <w:tcPr>
            <w:tcW w:type="dxa" w:w="1247"/>
            <w:vAlign w:val="center"/>
            <w:shd w:fill="F29B38"/>
          </w:tcPr>
          <w:p>
            <w:pPr>
              <w:spacing w:line="360" w:lineRule="auto"/>
              <w:jc w:val="center"/>
            </w:pPr>
            <w:r/>
            <w:r>
              <w:rPr>
                <w:rFonts w:ascii="Times New Roman" w:hAnsi="Times New Roman" w:eastAsia="Times New Roman"/>
                <w:b/>
                <w:sz w:val="24"/>
              </w:rPr>
              <w:t>10h30</w:t>
            </w:r>
          </w:p>
        </w:tc>
        <w:tc>
          <w:tcPr>
            <w:tcW w:type="dxa" w:w="7824"/>
            <w:vAlign w:val="center"/>
          </w:tcPr>
          <w:p>
            <w:pPr>
              <w:spacing w:line="360" w:lineRule="auto"/>
              <w:jc w:val="left"/>
            </w:pPr>
            <w:r/>
            <w:r>
              <w:rPr>
                <w:rFonts w:ascii="Times New Roman" w:hAnsi="Times New Roman" w:eastAsia="Times New Roman"/>
                <w:b w:val="0"/>
                <w:sz w:val="24"/>
              </w:rPr>
              <w:t>Début des masterclasses : atelier de Guillaume Soto sur « Les agents IA au service du Retrieval-Augmented Generation : tendances actuelles ».</w:t>
            </w:r>
          </w:p>
        </w:tc>
      </w:tr>
      <w:tr>
        <w:tc>
          <w:tcPr>
            <w:tcW w:type="dxa" w:w="1247"/>
            <w:vAlign w:val="center"/>
            <w:shd w:fill="F29B38"/>
          </w:tcPr>
          <w:p>
            <w:pPr>
              <w:spacing w:line="360" w:lineRule="auto"/>
              <w:jc w:val="center"/>
            </w:pPr>
            <w:r/>
            <w:r>
              <w:rPr>
                <w:rFonts w:ascii="Times New Roman" w:hAnsi="Times New Roman" w:eastAsia="Times New Roman"/>
                <w:b/>
                <w:sz w:val="24"/>
              </w:rPr>
              <w:t>11h15</w:t>
            </w:r>
          </w:p>
        </w:tc>
        <w:tc>
          <w:tcPr>
            <w:tcW w:type="dxa" w:w="7824"/>
            <w:vAlign w:val="center"/>
          </w:tcPr>
          <w:p>
            <w:pPr>
              <w:spacing w:line="360" w:lineRule="auto"/>
              <w:jc w:val="left"/>
            </w:pPr>
            <w:r/>
            <w:r>
              <w:rPr>
                <w:rFonts w:ascii="Times New Roman" w:hAnsi="Times New Roman" w:eastAsia="Times New Roman"/>
                <w:b w:val="0"/>
                <w:sz w:val="24"/>
              </w:rPr>
              <w:t>Deuxième masterclass : atelier pratique sur « Comment tirer profit de l’IA générative dans le contexte entrepreneurial local ? », animé par Habib Iya, Chef de Représentation à Douala du Port Autonome de Kribi.</w:t>
            </w:r>
          </w:p>
        </w:tc>
      </w:tr>
      <w:tr>
        <w:tc>
          <w:tcPr>
            <w:tcW w:type="dxa" w:w="1247"/>
            <w:vAlign w:val="center"/>
            <w:shd w:fill="F29B38"/>
          </w:tcPr>
          <w:p>
            <w:pPr>
              <w:spacing w:line="360" w:lineRule="auto"/>
              <w:jc w:val="center"/>
            </w:pPr>
            <w:r/>
            <w:r>
              <w:rPr>
                <w:rFonts w:ascii="Times New Roman" w:hAnsi="Times New Roman" w:eastAsia="Times New Roman"/>
                <w:b/>
                <w:sz w:val="24"/>
              </w:rPr>
              <w:t>12h30</w:t>
            </w:r>
          </w:p>
        </w:tc>
        <w:tc>
          <w:tcPr>
            <w:tcW w:type="dxa" w:w="7824"/>
            <w:vAlign w:val="center"/>
          </w:tcPr>
          <w:p>
            <w:pPr>
              <w:spacing w:line="360" w:lineRule="auto"/>
              <w:jc w:val="left"/>
            </w:pPr>
            <w:r/>
            <w:r>
              <w:rPr>
                <w:rFonts w:ascii="Times New Roman" w:hAnsi="Times New Roman" w:eastAsia="Times New Roman"/>
                <w:b w:val="0"/>
                <w:sz w:val="24"/>
              </w:rPr>
              <w:t>Fireside chat — Success stories, avec René Essomba, Lead Data &amp; AI Engineer en Australie ; Alain Claude Bah Essem, AI Engineer chez Nexus Cloud Technologies au Royaume-Uni ; Joël Parfait Kuate, AI Engineer en France.</w:t>
            </w:r>
          </w:p>
        </w:tc>
      </w:tr>
      <w:tr>
        <w:tc>
          <w:tcPr>
            <w:tcW w:type="dxa" w:w="1247"/>
            <w:vAlign w:val="center"/>
            <w:shd w:fill="F29B38"/>
          </w:tcPr>
          <w:p>
            <w:pPr>
              <w:spacing w:line="360" w:lineRule="auto"/>
              <w:jc w:val="center"/>
            </w:pPr>
            <w:r/>
            <w:r>
              <w:rPr>
                <w:rFonts w:ascii="Times New Roman" w:hAnsi="Times New Roman" w:eastAsia="Times New Roman"/>
                <w:b/>
                <w:sz w:val="24"/>
              </w:rPr>
              <w:t>13h30</w:t>
            </w:r>
          </w:p>
        </w:tc>
        <w:tc>
          <w:tcPr>
            <w:tcW w:type="dxa" w:w="7824"/>
            <w:vAlign w:val="center"/>
          </w:tcPr>
          <w:p>
            <w:pPr>
              <w:spacing w:line="360" w:lineRule="auto"/>
              <w:jc w:val="left"/>
            </w:pPr>
            <w:r/>
            <w:r>
              <w:rPr>
                <w:rFonts w:ascii="Times New Roman" w:hAnsi="Times New Roman" w:eastAsia="Times New Roman"/>
                <w:b w:val="0"/>
                <w:sz w:val="24"/>
              </w:rPr>
              <w:t>Conférence : « L’IA Made in Cameroon : des solutions pour nos challenges communautaires », avec Dr Fred Ngaba, David Kenfack, Armel Fameni, Sage Destin Kouam et Chelsie Carel Wandji, modératrice.</w:t>
            </w:r>
          </w:p>
        </w:tc>
      </w:tr>
      <w:tr>
        <w:tc>
          <w:tcPr>
            <w:tcW w:type="dxa" w:w="1247"/>
            <w:vAlign w:val="center"/>
            <w:shd w:fill="F29B38"/>
          </w:tcPr>
          <w:p>
            <w:pPr>
              <w:spacing w:line="360" w:lineRule="auto"/>
              <w:jc w:val="center"/>
            </w:pPr>
            <w:r/>
            <w:r>
              <w:rPr>
                <w:rFonts w:ascii="Times New Roman" w:hAnsi="Times New Roman" w:eastAsia="Times New Roman"/>
                <w:b/>
                <w:sz w:val="24"/>
              </w:rPr>
              <w:t>15h00</w:t>
            </w:r>
          </w:p>
        </w:tc>
        <w:tc>
          <w:tcPr>
            <w:tcW w:type="dxa" w:w="7824"/>
            <w:vAlign w:val="center"/>
          </w:tcPr>
          <w:p>
            <w:pPr>
              <w:spacing w:line="360" w:lineRule="auto"/>
              <w:jc w:val="left"/>
            </w:pPr>
            <w:r/>
            <w:r>
              <w:rPr>
                <w:rFonts w:ascii="Times New Roman" w:hAnsi="Times New Roman" w:eastAsia="Times New Roman"/>
                <w:b w:val="0"/>
                <w:sz w:val="24"/>
              </w:rPr>
              <w:t>Fin de la deuxième journée.</w:t>
            </w:r>
          </w:p>
        </w:tc>
      </w:tr>
    </w:tbl>
    <w:tbl>
      <w:tblPr>
        <w:tblW w:type="auto" w:w="0"/>
        <w:jc w:val="center"/>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184"/>
      </w:tblGrid>
      <w:tr>
        <w:tc>
          <w:tcPr>
            <w:tcW w:type="dxa" w:w="9184"/>
            <w:shd w:fill="F2F2F2"/>
          </w:tcPr>
          <w:p>
            <w:pPr>
              <w:spacing w:line="360" w:lineRule="auto" w:before="360" w:after="360"/>
              <w:jc w:val="center"/>
            </w:pPr>
            <w:r>
              <w:rPr>
                <w:rFonts w:ascii="Times New Roman" w:hAnsi="Times New Roman" w:eastAsia="Times New Roman"/>
                <w:b/>
                <w:i w:val="0"/>
                <w:color w:val="1F2F6D"/>
                <w:sz w:val="24"/>
              </w:rPr>
              <w:t xml:space="preserve">PHOTO À INSÉRER — </w:t>
            </w:r>
            <w:r>
              <w:rPr>
                <w:rFonts w:ascii="Times New Roman" w:hAnsi="Times New Roman" w:eastAsia="Times New Roman"/>
                <w:b w:val="0"/>
                <w:i/>
                <w:sz w:val="24"/>
              </w:rPr>
              <w:t>photo de masterclass, démonstration ou interaction entre participants, intervenant et supports numériques.</w:t>
            </w:r>
          </w:p>
        </w:tc>
      </w:tr>
    </w:tbl>
    <w:p>
      <w:pPr>
        <w:spacing w:before="200" w:after="80" w:line="360" w:lineRule="auto"/>
        <w:jc w:val="both"/>
      </w:pPr>
      <w:r>
        <w:rPr>
          <w:rFonts w:ascii="Times New Roman" w:hAnsi="Times New Roman" w:eastAsia="Times New Roman"/>
          <w:b/>
          <w:i w:val="0"/>
          <w:color w:val="1F2F6D"/>
          <w:sz w:val="24"/>
        </w:rPr>
        <w:t>Jour 3 — IRIC, Amphi 500, 24 avril 2025</w:t>
      </w:r>
    </w:p>
    <w:tbl>
      <w:tblPr>
        <w:tblStyle w:val="TableGrid"/>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247"/>
        <w:gridCol w:w="7824"/>
      </w:tblGrid>
      <w:tr>
        <w:trPr>
          <w:tblHeader w:val="true"/>
        </w:trPr>
        <w:tc>
          <w:tcPr>
            <w:tcW w:type="dxa" w:w="1247"/>
            <w:vAlign w:val="center"/>
            <w:shd w:fill="1F2F6D"/>
          </w:tcPr>
          <w:p>
            <w:pPr>
              <w:spacing w:line="360" w:lineRule="auto"/>
              <w:jc w:val="center"/>
            </w:pPr>
            <w:r/>
            <w:r>
              <w:rPr>
                <w:rFonts w:ascii="Times New Roman" w:hAnsi="Times New Roman" w:eastAsia="Times New Roman"/>
                <w:b/>
                <w:color w:val="FFFFFF"/>
                <w:sz w:val="24"/>
              </w:rPr>
              <w:t>Heure</w:t>
            </w:r>
          </w:p>
        </w:tc>
        <w:tc>
          <w:tcPr>
            <w:tcW w:type="dxa" w:w="7824"/>
            <w:vAlign w:val="center"/>
            <w:shd w:fill="1F2F6D"/>
          </w:tcPr>
          <w:p>
            <w:pPr>
              <w:spacing w:line="360" w:lineRule="auto"/>
              <w:jc w:val="left"/>
            </w:pPr>
            <w:r/>
            <w:r>
              <w:rPr>
                <w:rFonts w:ascii="Times New Roman" w:hAnsi="Times New Roman" w:eastAsia="Times New Roman"/>
                <w:b/>
                <w:color w:val="FFFFFF"/>
                <w:sz w:val="24"/>
              </w:rPr>
              <w:t>Activité</w:t>
            </w:r>
          </w:p>
        </w:tc>
      </w:tr>
      <w:tr>
        <w:tc>
          <w:tcPr>
            <w:tcW w:type="dxa" w:w="1247"/>
            <w:vAlign w:val="center"/>
            <w:shd w:fill="F29B38"/>
          </w:tcPr>
          <w:p>
            <w:pPr>
              <w:spacing w:line="360" w:lineRule="auto"/>
              <w:jc w:val="center"/>
            </w:pPr>
            <w:r/>
            <w:r>
              <w:rPr>
                <w:rFonts w:ascii="Times New Roman" w:hAnsi="Times New Roman" w:eastAsia="Times New Roman"/>
                <w:b/>
                <w:sz w:val="24"/>
              </w:rPr>
              <w:t>08h00</w:t>
            </w:r>
          </w:p>
        </w:tc>
        <w:tc>
          <w:tcPr>
            <w:tcW w:type="dxa" w:w="7824"/>
            <w:vAlign w:val="center"/>
          </w:tcPr>
          <w:p>
            <w:pPr>
              <w:spacing w:line="360" w:lineRule="auto"/>
              <w:jc w:val="left"/>
            </w:pPr>
            <w:r/>
            <w:r>
              <w:rPr>
                <w:rFonts w:ascii="Times New Roman" w:hAnsi="Times New Roman" w:eastAsia="Times New Roman"/>
                <w:b w:val="0"/>
                <w:sz w:val="24"/>
              </w:rPr>
              <w:t>Accueil et inscriptions des participants.</w:t>
            </w:r>
          </w:p>
        </w:tc>
      </w:tr>
      <w:tr>
        <w:tc>
          <w:tcPr>
            <w:tcW w:type="dxa" w:w="1247"/>
            <w:vAlign w:val="center"/>
            <w:shd w:fill="F29B38"/>
          </w:tcPr>
          <w:p>
            <w:pPr>
              <w:spacing w:line="360" w:lineRule="auto"/>
              <w:jc w:val="center"/>
            </w:pPr>
            <w:r/>
            <w:r>
              <w:rPr>
                <w:rFonts w:ascii="Times New Roman" w:hAnsi="Times New Roman" w:eastAsia="Times New Roman"/>
                <w:b/>
                <w:sz w:val="24"/>
              </w:rPr>
              <w:t>09h45</w:t>
            </w:r>
          </w:p>
        </w:tc>
        <w:tc>
          <w:tcPr>
            <w:tcW w:type="dxa" w:w="7824"/>
            <w:vAlign w:val="center"/>
          </w:tcPr>
          <w:p>
            <w:pPr>
              <w:spacing w:line="360" w:lineRule="auto"/>
              <w:jc w:val="left"/>
            </w:pPr>
            <w:r/>
            <w:r>
              <w:rPr>
                <w:rFonts w:ascii="Times New Roman" w:hAnsi="Times New Roman" w:eastAsia="Times New Roman"/>
                <w:b w:val="0"/>
                <w:sz w:val="24"/>
              </w:rPr>
              <w:t>Accueil des chefs d’établissements, d’entreprises et invités spéciaux ; accueil des chefs des institutions diplomatiques.</w:t>
            </w:r>
          </w:p>
        </w:tc>
      </w:tr>
      <w:tr>
        <w:tc>
          <w:tcPr>
            <w:tcW w:type="dxa" w:w="1247"/>
            <w:vAlign w:val="center"/>
            <w:shd w:fill="F29B38"/>
          </w:tcPr>
          <w:p>
            <w:pPr>
              <w:spacing w:line="360" w:lineRule="auto"/>
              <w:jc w:val="center"/>
            </w:pPr>
            <w:r/>
            <w:r>
              <w:rPr>
                <w:rFonts w:ascii="Times New Roman" w:hAnsi="Times New Roman" w:eastAsia="Times New Roman"/>
                <w:b/>
                <w:sz w:val="24"/>
              </w:rPr>
              <w:t>09h55</w:t>
            </w:r>
          </w:p>
        </w:tc>
        <w:tc>
          <w:tcPr>
            <w:tcW w:type="dxa" w:w="7824"/>
            <w:vAlign w:val="center"/>
          </w:tcPr>
          <w:p>
            <w:pPr>
              <w:spacing w:line="360" w:lineRule="auto"/>
              <w:jc w:val="left"/>
            </w:pPr>
            <w:r/>
            <w:r>
              <w:rPr>
                <w:rFonts w:ascii="Times New Roman" w:hAnsi="Times New Roman" w:eastAsia="Times New Roman"/>
                <w:b w:val="0"/>
                <w:sz w:val="24"/>
              </w:rPr>
              <w:t>Arrivée des membres du gouvernement.</w:t>
            </w:r>
          </w:p>
        </w:tc>
      </w:tr>
      <w:tr>
        <w:tc>
          <w:tcPr>
            <w:tcW w:type="dxa" w:w="1247"/>
            <w:vAlign w:val="center"/>
            <w:shd w:fill="F29B38"/>
          </w:tcPr>
          <w:p>
            <w:pPr>
              <w:spacing w:line="360" w:lineRule="auto"/>
              <w:jc w:val="center"/>
            </w:pPr>
            <w:r/>
            <w:r>
              <w:rPr>
                <w:rFonts w:ascii="Times New Roman" w:hAnsi="Times New Roman" w:eastAsia="Times New Roman"/>
                <w:b/>
                <w:sz w:val="24"/>
              </w:rPr>
              <w:t>10h00</w:t>
            </w:r>
          </w:p>
        </w:tc>
        <w:tc>
          <w:tcPr>
            <w:tcW w:type="dxa" w:w="7824"/>
            <w:vAlign w:val="center"/>
          </w:tcPr>
          <w:p>
            <w:pPr>
              <w:spacing w:line="360" w:lineRule="auto"/>
              <w:jc w:val="left"/>
            </w:pPr>
            <w:r/>
            <w:r>
              <w:rPr>
                <w:rFonts w:ascii="Times New Roman" w:hAnsi="Times New Roman" w:eastAsia="Times New Roman"/>
                <w:b w:val="0"/>
                <w:sz w:val="24"/>
              </w:rPr>
              <w:t>Début de la cérémonie de clôture : hymne national par le Chœur des Internationalistes de l’IRIC, mot de bienvenue de Boris Landry Kouekam, intervention du Dr Daniel Urbain Ndongo, leçon inaugurale du Prof Jean Emmanuel Mpondi, Recteur d’ICT University.</w:t>
            </w:r>
          </w:p>
        </w:tc>
      </w:tr>
      <w:tr>
        <w:tc>
          <w:tcPr>
            <w:tcW w:type="dxa" w:w="1247"/>
            <w:vAlign w:val="center"/>
            <w:shd w:fill="F29B38"/>
          </w:tcPr>
          <w:p>
            <w:pPr>
              <w:spacing w:line="360" w:lineRule="auto"/>
              <w:jc w:val="center"/>
            </w:pPr>
            <w:r/>
            <w:r>
              <w:rPr>
                <w:rFonts w:ascii="Times New Roman" w:hAnsi="Times New Roman" w:eastAsia="Times New Roman"/>
                <w:b/>
                <w:sz w:val="24"/>
              </w:rPr>
              <w:t>10h30</w:t>
            </w:r>
          </w:p>
        </w:tc>
        <w:tc>
          <w:tcPr>
            <w:tcW w:type="dxa" w:w="7824"/>
            <w:vAlign w:val="center"/>
          </w:tcPr>
          <w:p>
            <w:pPr>
              <w:spacing w:line="360" w:lineRule="auto"/>
              <w:jc w:val="left"/>
            </w:pPr>
            <w:r/>
            <w:r>
              <w:rPr>
                <w:rFonts w:ascii="Times New Roman" w:hAnsi="Times New Roman" w:eastAsia="Times New Roman"/>
                <w:b w:val="0"/>
                <w:sz w:val="24"/>
              </w:rPr>
              <w:t>Conférence : « L’IAmatie : mariage entre l’IA et la diplomatie économique », avec Pr Didier Alain Olinga, Dr Enow Takang Achuo Albert, Dr Christian Pout, Dr Saphir Volviane Nfogo et Didier Pare, modérateur.</w:t>
            </w:r>
          </w:p>
        </w:tc>
      </w:tr>
      <w:tr>
        <w:tc>
          <w:tcPr>
            <w:tcW w:type="dxa" w:w="1247"/>
            <w:vAlign w:val="center"/>
            <w:shd w:fill="F29B38"/>
          </w:tcPr>
          <w:p>
            <w:pPr>
              <w:spacing w:line="360" w:lineRule="auto"/>
              <w:jc w:val="center"/>
            </w:pPr>
            <w:r/>
            <w:r>
              <w:rPr>
                <w:rFonts w:ascii="Times New Roman" w:hAnsi="Times New Roman" w:eastAsia="Times New Roman"/>
                <w:b/>
                <w:sz w:val="24"/>
              </w:rPr>
              <w:t>11h20</w:t>
            </w:r>
          </w:p>
        </w:tc>
        <w:tc>
          <w:tcPr>
            <w:tcW w:type="dxa" w:w="7824"/>
            <w:vAlign w:val="center"/>
          </w:tcPr>
          <w:p>
            <w:pPr>
              <w:spacing w:line="360" w:lineRule="auto"/>
              <w:jc w:val="left"/>
            </w:pPr>
            <w:r/>
            <w:r>
              <w:rPr>
                <w:rFonts w:ascii="Times New Roman" w:hAnsi="Times New Roman" w:eastAsia="Times New Roman"/>
                <w:b w:val="0"/>
                <w:sz w:val="24"/>
              </w:rPr>
              <w:t>Exposé de Monsieur Hilaire Mputu, Directeur du Bureau Régional Multisectoriel de l’UNESCO en Afrique Centrale, sur « Intelligence Artificielle et Humanité : pourquoi l’UNESCO s’engage pour une IA éthique, inclusive et au service du bien commun ».</w:t>
            </w:r>
          </w:p>
        </w:tc>
      </w:tr>
      <w:tr>
        <w:tc>
          <w:tcPr>
            <w:tcW w:type="dxa" w:w="1247"/>
            <w:vAlign w:val="center"/>
            <w:shd w:fill="F29B38"/>
          </w:tcPr>
          <w:p>
            <w:pPr>
              <w:spacing w:line="360" w:lineRule="auto"/>
              <w:jc w:val="center"/>
            </w:pPr>
            <w:r/>
            <w:r>
              <w:rPr>
                <w:rFonts w:ascii="Times New Roman" w:hAnsi="Times New Roman" w:eastAsia="Times New Roman"/>
                <w:b/>
                <w:sz w:val="24"/>
              </w:rPr>
              <w:t>11h30</w:t>
            </w:r>
          </w:p>
        </w:tc>
        <w:tc>
          <w:tcPr>
            <w:tcW w:type="dxa" w:w="7824"/>
            <w:vAlign w:val="center"/>
          </w:tcPr>
          <w:p>
            <w:pPr>
              <w:spacing w:line="360" w:lineRule="auto"/>
              <w:jc w:val="left"/>
            </w:pPr>
            <w:r/>
            <w:r>
              <w:rPr>
                <w:rFonts w:ascii="Times New Roman" w:hAnsi="Times New Roman" w:eastAsia="Times New Roman"/>
                <w:b w:val="0"/>
                <w:sz w:val="24"/>
              </w:rPr>
              <w:t>Remise d’une distinction honorifique à l’association Intelligence Artificielle Cameroun.</w:t>
            </w:r>
          </w:p>
        </w:tc>
      </w:tr>
      <w:tr>
        <w:tc>
          <w:tcPr>
            <w:tcW w:type="dxa" w:w="1247"/>
            <w:vAlign w:val="center"/>
            <w:shd w:fill="F29B38"/>
          </w:tcPr>
          <w:p>
            <w:pPr>
              <w:spacing w:line="360" w:lineRule="auto"/>
              <w:jc w:val="center"/>
            </w:pPr>
            <w:r/>
            <w:r>
              <w:rPr>
                <w:rFonts w:ascii="Times New Roman" w:hAnsi="Times New Roman" w:eastAsia="Times New Roman"/>
                <w:b/>
                <w:sz w:val="24"/>
              </w:rPr>
              <w:t>11h40</w:t>
            </w:r>
          </w:p>
        </w:tc>
        <w:tc>
          <w:tcPr>
            <w:tcW w:type="dxa" w:w="7824"/>
            <w:vAlign w:val="center"/>
          </w:tcPr>
          <w:p>
            <w:pPr>
              <w:spacing w:line="360" w:lineRule="auto"/>
              <w:jc w:val="left"/>
            </w:pPr>
            <w:r/>
            <w:r>
              <w:rPr>
                <w:rFonts w:ascii="Times New Roman" w:hAnsi="Times New Roman" w:eastAsia="Times New Roman"/>
                <w:b w:val="0"/>
                <w:sz w:val="24"/>
              </w:rPr>
              <w:t>Remise d’un prix honorifique au Ministère des Postes et Télécommunications.</w:t>
            </w:r>
          </w:p>
        </w:tc>
      </w:tr>
      <w:tr>
        <w:tc>
          <w:tcPr>
            <w:tcW w:type="dxa" w:w="1247"/>
            <w:vAlign w:val="center"/>
            <w:shd w:fill="F29B38"/>
          </w:tcPr>
          <w:p>
            <w:pPr>
              <w:spacing w:line="360" w:lineRule="auto"/>
              <w:jc w:val="center"/>
            </w:pPr>
            <w:r/>
            <w:r>
              <w:rPr>
                <w:rFonts w:ascii="Times New Roman" w:hAnsi="Times New Roman" w:eastAsia="Times New Roman"/>
                <w:b/>
                <w:sz w:val="24"/>
              </w:rPr>
              <w:t>11h45</w:t>
            </w:r>
          </w:p>
        </w:tc>
        <w:tc>
          <w:tcPr>
            <w:tcW w:type="dxa" w:w="7824"/>
            <w:vAlign w:val="center"/>
          </w:tcPr>
          <w:p>
            <w:pPr>
              <w:spacing w:line="360" w:lineRule="auto"/>
              <w:jc w:val="left"/>
            </w:pPr>
            <w:r/>
            <w:r>
              <w:rPr>
                <w:rFonts w:ascii="Times New Roman" w:hAnsi="Times New Roman" w:eastAsia="Times New Roman"/>
                <w:b w:val="0"/>
                <w:sz w:val="24"/>
              </w:rPr>
              <w:t>Lecture des recommandations des JCIA 2025 par le Dr Patrick Seumen.</w:t>
            </w:r>
          </w:p>
        </w:tc>
      </w:tr>
      <w:tr>
        <w:tc>
          <w:tcPr>
            <w:tcW w:type="dxa" w:w="1247"/>
            <w:vAlign w:val="center"/>
            <w:shd w:fill="F29B38"/>
          </w:tcPr>
          <w:p>
            <w:pPr>
              <w:spacing w:line="360" w:lineRule="auto"/>
              <w:jc w:val="center"/>
            </w:pPr>
            <w:r/>
            <w:r>
              <w:rPr>
                <w:rFonts w:ascii="Times New Roman" w:hAnsi="Times New Roman" w:eastAsia="Times New Roman"/>
                <w:b/>
                <w:sz w:val="24"/>
              </w:rPr>
              <w:t>12h00</w:t>
            </w:r>
          </w:p>
        </w:tc>
        <w:tc>
          <w:tcPr>
            <w:tcW w:type="dxa" w:w="7824"/>
            <w:vAlign w:val="center"/>
          </w:tcPr>
          <w:p>
            <w:pPr>
              <w:spacing w:line="360" w:lineRule="auto"/>
              <w:jc w:val="left"/>
            </w:pPr>
            <w:r/>
            <w:r>
              <w:rPr>
                <w:rFonts w:ascii="Times New Roman" w:hAnsi="Times New Roman" w:eastAsia="Times New Roman"/>
                <w:b w:val="0"/>
                <w:sz w:val="24"/>
              </w:rPr>
              <w:t>Discours de clôture institutionnel.</w:t>
            </w:r>
          </w:p>
        </w:tc>
      </w:tr>
      <w:tr>
        <w:tc>
          <w:tcPr>
            <w:tcW w:type="dxa" w:w="1247"/>
            <w:vAlign w:val="center"/>
            <w:shd w:fill="F29B38"/>
          </w:tcPr>
          <w:p>
            <w:pPr>
              <w:spacing w:line="360" w:lineRule="auto"/>
              <w:jc w:val="center"/>
            </w:pPr>
            <w:r/>
            <w:r>
              <w:rPr>
                <w:rFonts w:ascii="Times New Roman" w:hAnsi="Times New Roman" w:eastAsia="Times New Roman"/>
                <w:b/>
                <w:sz w:val="24"/>
              </w:rPr>
              <w:t>12h15</w:t>
            </w:r>
          </w:p>
        </w:tc>
        <w:tc>
          <w:tcPr>
            <w:tcW w:type="dxa" w:w="7824"/>
            <w:vAlign w:val="center"/>
          </w:tcPr>
          <w:p>
            <w:pPr>
              <w:spacing w:line="360" w:lineRule="auto"/>
              <w:jc w:val="left"/>
            </w:pPr>
            <w:r/>
            <w:r>
              <w:rPr>
                <w:rFonts w:ascii="Times New Roman" w:hAnsi="Times New Roman" w:eastAsia="Times New Roman"/>
                <w:b w:val="0"/>
                <w:sz w:val="24"/>
              </w:rPr>
              <w:t>Photo de famille et visites de stands.</w:t>
            </w:r>
          </w:p>
        </w:tc>
      </w:tr>
      <w:tr>
        <w:tc>
          <w:tcPr>
            <w:tcW w:type="dxa" w:w="1247"/>
            <w:vAlign w:val="center"/>
            <w:shd w:fill="F29B38"/>
          </w:tcPr>
          <w:p>
            <w:pPr>
              <w:spacing w:line="360" w:lineRule="auto"/>
              <w:jc w:val="center"/>
            </w:pPr>
            <w:r/>
            <w:r>
              <w:rPr>
                <w:rFonts w:ascii="Times New Roman" w:hAnsi="Times New Roman" w:eastAsia="Times New Roman"/>
                <w:b/>
                <w:sz w:val="24"/>
              </w:rPr>
              <w:t>13h00</w:t>
            </w:r>
          </w:p>
        </w:tc>
        <w:tc>
          <w:tcPr>
            <w:tcW w:type="dxa" w:w="7824"/>
            <w:vAlign w:val="center"/>
          </w:tcPr>
          <w:p>
            <w:pPr>
              <w:spacing w:line="360" w:lineRule="auto"/>
              <w:jc w:val="left"/>
            </w:pPr>
            <w:r/>
            <w:r>
              <w:rPr>
                <w:rFonts w:ascii="Times New Roman" w:hAnsi="Times New Roman" w:eastAsia="Times New Roman"/>
                <w:b w:val="0"/>
                <w:sz w:val="24"/>
              </w:rPr>
              <w:t>Fin des JCIA 2025.</w:t>
            </w:r>
          </w:p>
        </w:tc>
      </w:tr>
    </w:tbl>
    <w:tbl>
      <w:tblPr>
        <w:tblW w:type="auto" w:w="0"/>
        <w:jc w:val="center"/>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184"/>
      </w:tblGrid>
      <w:tr>
        <w:tc>
          <w:tcPr>
            <w:tcW w:type="dxa" w:w="9184"/>
            <w:shd w:fill="F2F2F2"/>
          </w:tcPr>
          <w:p>
            <w:pPr>
              <w:spacing w:line="360" w:lineRule="auto" w:before="360" w:after="360"/>
              <w:jc w:val="center"/>
            </w:pPr>
            <w:r>
              <w:rPr>
                <w:rFonts w:ascii="Times New Roman" w:hAnsi="Times New Roman" w:eastAsia="Times New Roman"/>
                <w:b/>
                <w:i w:val="0"/>
                <w:color w:val="1F2F6D"/>
                <w:sz w:val="24"/>
              </w:rPr>
              <w:t xml:space="preserve">PHOTO À INSÉRER — </w:t>
            </w:r>
            <w:r>
              <w:rPr>
                <w:rFonts w:ascii="Times New Roman" w:hAnsi="Times New Roman" w:eastAsia="Times New Roman"/>
                <w:b w:val="0"/>
                <w:i/>
                <w:sz w:val="24"/>
              </w:rPr>
              <w:t>photo de clôture, photo de famille ou visite de stand avec personnalités et exposants autour d’une solution technologique.</w:t>
            </w:r>
          </w:p>
        </w:tc>
      </w:tr>
    </w:tbl>
    <w:p>
      <w:pPr>
        <w:spacing w:before="240" w:after="120" w:line="360" w:lineRule="auto"/>
        <w:jc w:val="left"/>
      </w:pPr>
      <w:r>
        <w:rPr>
          <w:rFonts w:ascii="Times New Roman" w:hAnsi="Times New Roman" w:eastAsia="Times New Roman"/>
          <w:b/>
          <w:i w:val="0"/>
          <w:color w:val="1F2F6D"/>
          <w:sz w:val="24"/>
        </w:rPr>
        <w:t>7. TEMPS FORTS DE L’ÉDITION</w:t>
      </w:r>
    </w:p>
    <w:p>
      <w:pPr>
        <w:spacing w:before="200" w:after="80" w:line="360" w:lineRule="auto"/>
        <w:jc w:val="both"/>
      </w:pPr>
      <w:r>
        <w:rPr>
          <w:rFonts w:ascii="Times New Roman" w:hAnsi="Times New Roman" w:eastAsia="Times New Roman"/>
          <w:b/>
          <w:i w:val="0"/>
          <w:color w:val="1F2F6D"/>
          <w:sz w:val="24"/>
        </w:rPr>
        <w:t>7.1 La cérémonie d’ouverture</w:t>
      </w:r>
    </w:p>
    <w:p>
      <w:pPr>
        <w:spacing w:line="360" w:lineRule="auto" w:before="0" w:after="120"/>
        <w:jc w:val="both"/>
      </w:pPr>
      <w:r>
        <w:rPr>
          <w:rFonts w:ascii="Times New Roman" w:hAnsi="Times New Roman" w:eastAsia="Times New Roman"/>
          <w:b w:val="0"/>
          <w:i w:val="0"/>
          <w:sz w:val="24"/>
        </w:rPr>
        <w:t>La cérémonie d’ouverture a donné à l’événement sa portée institutionnelle. Elle a permis de rappeler que l’intelligence artificielle n’est plus un sujet périphérique, mais un enjeu stratégique pour la compétitivité, l’emploi, la formation, la gouvernance et la transformation économique.</w:t>
      </w:r>
    </w:p>
    <w:p>
      <w:pPr>
        <w:spacing w:before="200" w:after="80" w:line="360" w:lineRule="auto"/>
        <w:jc w:val="both"/>
      </w:pPr>
      <w:r>
        <w:rPr>
          <w:rFonts w:ascii="Times New Roman" w:hAnsi="Times New Roman" w:eastAsia="Times New Roman"/>
          <w:b/>
          <w:i w:val="0"/>
          <w:color w:val="1F2F6D"/>
          <w:sz w:val="24"/>
        </w:rPr>
        <w:t>7.2 Le Salon 100 % IA</w:t>
      </w:r>
    </w:p>
    <w:p>
      <w:pPr>
        <w:spacing w:line="360" w:lineRule="auto" w:before="0" w:after="120"/>
        <w:jc w:val="both"/>
      </w:pPr>
      <w:r>
        <w:rPr>
          <w:rFonts w:ascii="Times New Roman" w:hAnsi="Times New Roman" w:eastAsia="Times New Roman"/>
          <w:b w:val="0"/>
          <w:i w:val="0"/>
          <w:sz w:val="24"/>
        </w:rPr>
        <w:t>Le Salon 100 % IA a constitué l’un des espaces les plus visibles de l’édition. Conçu comme une vitrine de l’innovation, il a permis de présenter des solutions, produits, prototypes, plateformes et projets portés par des startups, entreprises, chercheurs et innovateurs.</w:t>
      </w:r>
    </w:p>
    <w:p>
      <w:pPr>
        <w:spacing w:before="200" w:after="80" w:line="360" w:lineRule="auto"/>
        <w:jc w:val="both"/>
      </w:pPr>
      <w:r>
        <w:rPr>
          <w:rFonts w:ascii="Times New Roman" w:hAnsi="Times New Roman" w:eastAsia="Times New Roman"/>
          <w:b/>
          <w:i w:val="0"/>
          <w:color w:val="1F2F6D"/>
          <w:sz w:val="24"/>
        </w:rPr>
        <w:t>7.3 Les Cameroon Artificial Intelligence Awards</w:t>
      </w:r>
    </w:p>
    <w:p>
      <w:pPr>
        <w:spacing w:line="360" w:lineRule="auto" w:before="0" w:after="120"/>
        <w:jc w:val="both"/>
      </w:pPr>
      <w:r>
        <w:rPr>
          <w:rFonts w:ascii="Times New Roman" w:hAnsi="Times New Roman" w:eastAsia="Times New Roman"/>
          <w:b w:val="0"/>
          <w:i w:val="0"/>
          <w:sz w:val="24"/>
        </w:rPr>
        <w:t>Les Cameroon Artificial Intelligence Awards 2025 ont constitué l’un des moments les plus symboliques de cette deuxième édition. Ils ont permis de reconnaître les contributions scientifiques, les solutions fonctionnelles, les prototypes innovants, les idées prometteuses, les contributions féminines remarquables et les performances issues du JCIA Hackathon.</w:t>
      </w:r>
    </w:p>
    <w:tbl>
      <w:tblPr>
        <w:tblStyle w:val="TableGrid"/>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rPr>
          <w:tblHeader w:val="true"/>
        </w:trPr>
        <w:tc>
          <w:tcPr>
            <w:tcW w:type="dxa" w:w="4536"/>
            <w:vAlign w:val="center"/>
            <w:shd w:fill="1F2F6D"/>
          </w:tcPr>
          <w:p>
            <w:pPr>
              <w:spacing w:line="360" w:lineRule="auto"/>
              <w:jc w:val="left"/>
            </w:pPr>
            <w:r/>
            <w:r>
              <w:rPr>
                <w:rFonts w:ascii="Times New Roman" w:hAnsi="Times New Roman" w:eastAsia="Times New Roman"/>
                <w:b/>
                <w:color w:val="FFFFFF"/>
                <w:sz w:val="24"/>
              </w:rPr>
              <w:t>Catégorie</w:t>
            </w:r>
          </w:p>
        </w:tc>
        <w:tc>
          <w:tcPr>
            <w:tcW w:type="dxa" w:w="4536"/>
            <w:vAlign w:val="center"/>
            <w:shd w:fill="1F2F6D"/>
          </w:tcPr>
          <w:p>
            <w:pPr>
              <w:spacing w:line="360" w:lineRule="auto"/>
              <w:jc w:val="left"/>
            </w:pPr>
            <w:r/>
            <w:r>
              <w:rPr>
                <w:rFonts w:ascii="Times New Roman" w:hAnsi="Times New Roman" w:eastAsia="Times New Roman"/>
                <w:b/>
                <w:color w:val="FFFFFF"/>
                <w:sz w:val="24"/>
              </w:rPr>
              <w:t>Lauréat / Projet récompensé</w:t>
            </w:r>
          </w:p>
        </w:tc>
      </w:tr>
      <w:tr>
        <w:tc>
          <w:tcPr>
            <w:tcW w:type="dxa" w:w="4536"/>
            <w:vAlign w:val="center"/>
          </w:tcPr>
          <w:p>
            <w:pPr>
              <w:spacing w:line="360" w:lineRule="auto"/>
              <w:jc w:val="left"/>
            </w:pPr>
            <w:r/>
            <w:r>
              <w:rPr>
                <w:rFonts w:ascii="Times New Roman" w:hAnsi="Times New Roman" w:eastAsia="Times New Roman"/>
                <w:b w:val="0"/>
                <w:sz w:val="24"/>
              </w:rPr>
              <w:t>Best Scientific Contribution in AI</w:t>
            </w:r>
          </w:p>
        </w:tc>
        <w:tc>
          <w:tcPr>
            <w:tcW w:type="dxa" w:w="4536"/>
            <w:vAlign w:val="center"/>
          </w:tcPr>
          <w:p>
            <w:pPr>
              <w:spacing w:line="360" w:lineRule="auto"/>
              <w:jc w:val="left"/>
            </w:pPr>
            <w:r/>
            <w:r>
              <w:rPr>
                <w:rFonts w:ascii="Times New Roman" w:hAnsi="Times New Roman" w:eastAsia="Times New Roman"/>
                <w:b w:val="0"/>
                <w:sz w:val="24"/>
              </w:rPr>
              <w:t>CHEGNO TEKAM Valencienne</w:t>
            </w:r>
          </w:p>
        </w:tc>
      </w:tr>
      <w:tr>
        <w:tc>
          <w:tcPr>
            <w:tcW w:type="dxa" w:w="4536"/>
            <w:vAlign w:val="center"/>
          </w:tcPr>
          <w:p>
            <w:pPr>
              <w:spacing w:line="360" w:lineRule="auto"/>
              <w:jc w:val="left"/>
            </w:pPr>
            <w:r/>
            <w:r>
              <w:rPr>
                <w:rFonts w:ascii="Times New Roman" w:hAnsi="Times New Roman" w:eastAsia="Times New Roman"/>
                <w:b w:val="0"/>
                <w:sz w:val="24"/>
              </w:rPr>
              <w:t>Best Functional AI Solution</w:t>
            </w:r>
          </w:p>
        </w:tc>
        <w:tc>
          <w:tcPr>
            <w:tcW w:type="dxa" w:w="4536"/>
            <w:vAlign w:val="center"/>
          </w:tcPr>
          <w:p>
            <w:pPr>
              <w:spacing w:line="360" w:lineRule="auto"/>
              <w:jc w:val="left"/>
            </w:pPr>
            <w:r/>
            <w:r>
              <w:rPr>
                <w:rFonts w:ascii="Times New Roman" w:hAnsi="Times New Roman" w:eastAsia="Times New Roman"/>
                <w:b w:val="0"/>
                <w:sz w:val="24"/>
              </w:rPr>
              <w:t>SHINYUY Marcel Fonyuy</w:t>
            </w:r>
          </w:p>
        </w:tc>
      </w:tr>
      <w:tr>
        <w:tc>
          <w:tcPr>
            <w:tcW w:type="dxa" w:w="4536"/>
            <w:vAlign w:val="center"/>
          </w:tcPr>
          <w:p>
            <w:pPr>
              <w:spacing w:line="360" w:lineRule="auto"/>
              <w:jc w:val="left"/>
            </w:pPr>
            <w:r/>
            <w:r>
              <w:rPr>
                <w:rFonts w:ascii="Times New Roman" w:hAnsi="Times New Roman" w:eastAsia="Times New Roman"/>
                <w:b w:val="0"/>
                <w:sz w:val="24"/>
              </w:rPr>
              <w:t>Most Innovative AI Prototype</w:t>
            </w:r>
          </w:p>
        </w:tc>
        <w:tc>
          <w:tcPr>
            <w:tcW w:type="dxa" w:w="4536"/>
            <w:vAlign w:val="center"/>
          </w:tcPr>
          <w:p>
            <w:pPr>
              <w:spacing w:line="360" w:lineRule="auto"/>
              <w:jc w:val="left"/>
            </w:pPr>
            <w:r/>
            <w:r>
              <w:rPr>
                <w:rFonts w:ascii="Times New Roman" w:hAnsi="Times New Roman" w:eastAsia="Times New Roman"/>
                <w:b w:val="0"/>
                <w:sz w:val="24"/>
              </w:rPr>
              <w:t>GWADE Steve</w:t>
            </w:r>
          </w:p>
        </w:tc>
      </w:tr>
      <w:tr>
        <w:tc>
          <w:tcPr>
            <w:tcW w:type="dxa" w:w="4536"/>
            <w:vAlign w:val="center"/>
          </w:tcPr>
          <w:p>
            <w:pPr>
              <w:spacing w:line="360" w:lineRule="auto"/>
              <w:jc w:val="left"/>
            </w:pPr>
            <w:r/>
            <w:r>
              <w:rPr>
                <w:rFonts w:ascii="Times New Roman" w:hAnsi="Times New Roman" w:eastAsia="Times New Roman"/>
                <w:b w:val="0"/>
                <w:sz w:val="24"/>
              </w:rPr>
              <w:t>Promising Idea for AI Future</w:t>
            </w:r>
          </w:p>
        </w:tc>
        <w:tc>
          <w:tcPr>
            <w:tcW w:type="dxa" w:w="4536"/>
            <w:vAlign w:val="center"/>
          </w:tcPr>
          <w:p>
            <w:pPr>
              <w:spacing w:line="360" w:lineRule="auto"/>
              <w:jc w:val="left"/>
            </w:pPr>
            <w:r/>
            <w:r>
              <w:rPr>
                <w:rFonts w:ascii="Times New Roman" w:hAnsi="Times New Roman" w:eastAsia="Times New Roman"/>
                <w:b w:val="0"/>
                <w:sz w:val="24"/>
              </w:rPr>
              <w:t>EYENGA MINKONDA LAURENTINE Serena</w:t>
            </w:r>
          </w:p>
        </w:tc>
      </w:tr>
      <w:tr>
        <w:tc>
          <w:tcPr>
            <w:tcW w:type="dxa" w:w="4536"/>
            <w:vAlign w:val="center"/>
          </w:tcPr>
          <w:p>
            <w:pPr>
              <w:spacing w:line="360" w:lineRule="auto"/>
              <w:jc w:val="left"/>
            </w:pPr>
            <w:r/>
            <w:r>
              <w:rPr>
                <w:rFonts w:ascii="Times New Roman" w:hAnsi="Times New Roman" w:eastAsia="Times New Roman"/>
                <w:b w:val="0"/>
                <w:sz w:val="24"/>
              </w:rPr>
              <w:t>Outstanding Female Contributor in AI</w:t>
            </w:r>
          </w:p>
        </w:tc>
        <w:tc>
          <w:tcPr>
            <w:tcW w:type="dxa" w:w="4536"/>
            <w:vAlign w:val="center"/>
          </w:tcPr>
          <w:p>
            <w:pPr>
              <w:spacing w:line="360" w:lineRule="auto"/>
              <w:jc w:val="left"/>
            </w:pPr>
            <w:r/>
            <w:r>
              <w:rPr>
                <w:rFonts w:ascii="Times New Roman" w:hAnsi="Times New Roman" w:eastAsia="Times New Roman"/>
                <w:b w:val="0"/>
                <w:sz w:val="24"/>
              </w:rPr>
              <w:t>LONI TANDE EBENYE Miriam</w:t>
            </w:r>
          </w:p>
        </w:tc>
      </w:tr>
      <w:tr>
        <w:tc>
          <w:tcPr>
            <w:tcW w:type="dxa" w:w="4536"/>
            <w:vAlign w:val="center"/>
          </w:tcPr>
          <w:p>
            <w:pPr>
              <w:spacing w:line="360" w:lineRule="auto"/>
              <w:jc w:val="left"/>
            </w:pPr>
            <w:r/>
            <w:r>
              <w:rPr>
                <w:rFonts w:ascii="Times New Roman" w:hAnsi="Times New Roman" w:eastAsia="Times New Roman"/>
                <w:b w:val="0"/>
                <w:sz w:val="24"/>
              </w:rPr>
              <w:t>1st Place — JCIA Hackathon Champion</w:t>
            </w:r>
          </w:p>
        </w:tc>
        <w:tc>
          <w:tcPr>
            <w:tcW w:type="dxa" w:w="4536"/>
            <w:vAlign w:val="center"/>
          </w:tcPr>
          <w:p>
            <w:pPr>
              <w:spacing w:line="360" w:lineRule="auto"/>
              <w:jc w:val="left"/>
            </w:pPr>
            <w:r/>
            <w:r>
              <w:rPr>
                <w:rFonts w:ascii="Times New Roman" w:hAnsi="Times New Roman" w:eastAsia="Times New Roman"/>
                <w:b w:val="0"/>
                <w:sz w:val="24"/>
              </w:rPr>
              <w:t>Ubinifu — DJIKA ASMAOUN Houma</w:t>
            </w:r>
          </w:p>
        </w:tc>
      </w:tr>
      <w:tr>
        <w:tc>
          <w:tcPr>
            <w:tcW w:type="dxa" w:w="4536"/>
            <w:vAlign w:val="center"/>
          </w:tcPr>
          <w:p>
            <w:pPr>
              <w:spacing w:line="360" w:lineRule="auto"/>
              <w:jc w:val="left"/>
            </w:pPr>
            <w:r/>
            <w:r>
              <w:rPr>
                <w:rFonts w:ascii="Times New Roman" w:hAnsi="Times New Roman" w:eastAsia="Times New Roman"/>
                <w:b w:val="0"/>
                <w:sz w:val="24"/>
              </w:rPr>
              <w:t>2nd Place — JCIA Hackathon Champion</w:t>
            </w:r>
          </w:p>
        </w:tc>
        <w:tc>
          <w:tcPr>
            <w:tcW w:type="dxa" w:w="4536"/>
            <w:vAlign w:val="center"/>
          </w:tcPr>
          <w:p>
            <w:pPr>
              <w:spacing w:line="360" w:lineRule="auto"/>
              <w:jc w:val="left"/>
            </w:pPr>
            <w:r/>
            <w:r>
              <w:rPr>
                <w:rFonts w:ascii="Times New Roman" w:hAnsi="Times New Roman" w:eastAsia="Times New Roman"/>
                <w:b w:val="0"/>
                <w:sz w:val="24"/>
              </w:rPr>
              <w:t>PlumVision — GWADE Steve</w:t>
            </w:r>
          </w:p>
        </w:tc>
      </w:tr>
    </w:tbl>
    <w:tbl>
      <w:tblPr>
        <w:tblW w:type="auto" w:w="0"/>
        <w:jc w:val="center"/>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184"/>
      </w:tblGrid>
      <w:tr>
        <w:tc>
          <w:tcPr>
            <w:tcW w:type="dxa" w:w="9184"/>
            <w:shd w:fill="F2F2F2"/>
          </w:tcPr>
          <w:p>
            <w:pPr>
              <w:spacing w:line="360" w:lineRule="auto" w:before="360" w:after="360"/>
              <w:jc w:val="center"/>
            </w:pPr>
            <w:r>
              <w:rPr>
                <w:rFonts w:ascii="Times New Roman" w:hAnsi="Times New Roman" w:eastAsia="Times New Roman"/>
                <w:b/>
                <w:i w:val="0"/>
                <w:color w:val="1F2F6D"/>
                <w:sz w:val="24"/>
              </w:rPr>
              <w:t xml:space="preserve">PHOTO À INSÉRER — </w:t>
            </w:r>
            <w:r>
              <w:rPr>
                <w:rFonts w:ascii="Times New Roman" w:hAnsi="Times New Roman" w:eastAsia="Times New Roman"/>
                <w:b w:val="0"/>
                <w:i/>
                <w:sz w:val="24"/>
              </w:rPr>
              <w:t>remise de prix ou portrait collectif des lauréats CAIA 2025, avec fond de scène ou branding JCIA visible.</w:t>
            </w:r>
          </w:p>
        </w:tc>
      </w:tr>
    </w:tbl>
    <w:p>
      <w:pPr>
        <w:spacing w:before="200" w:after="80" w:line="360" w:lineRule="auto"/>
        <w:jc w:val="both"/>
      </w:pPr>
      <w:r>
        <w:rPr>
          <w:rFonts w:ascii="Times New Roman" w:hAnsi="Times New Roman" w:eastAsia="Times New Roman"/>
          <w:b/>
          <w:i w:val="0"/>
          <w:color w:val="1F2F6D"/>
          <w:sz w:val="24"/>
        </w:rPr>
        <w:t>7.4 Les masterclasses</w:t>
      </w:r>
    </w:p>
    <w:p>
      <w:pPr>
        <w:spacing w:line="360" w:lineRule="auto" w:before="0" w:after="120"/>
        <w:jc w:val="both"/>
      </w:pPr>
      <w:r>
        <w:rPr>
          <w:rFonts w:ascii="Times New Roman" w:hAnsi="Times New Roman" w:eastAsia="Times New Roman"/>
          <w:b w:val="0"/>
          <w:i w:val="0"/>
          <w:sz w:val="24"/>
        </w:rPr>
        <w:t>Les masterclasses ont répondu à un besoin essentiel : passer de la sensibilisation à l’appropriation. Elles ont permis aux participants de mieux comprendre les méthodes, outils, usages et enjeux pratiques de l’intelligence artificielle dans un contexte professionnel.</w:t>
      </w:r>
    </w:p>
    <w:p>
      <w:pPr>
        <w:spacing w:before="200" w:after="80" w:line="360" w:lineRule="auto"/>
        <w:jc w:val="both"/>
      </w:pPr>
      <w:r>
        <w:rPr>
          <w:rFonts w:ascii="Times New Roman" w:hAnsi="Times New Roman" w:eastAsia="Times New Roman"/>
          <w:b/>
          <w:i w:val="0"/>
          <w:color w:val="1F2F6D"/>
          <w:sz w:val="24"/>
        </w:rPr>
        <w:t>7.5 Les panels et conférences</w:t>
      </w:r>
    </w:p>
    <w:p>
      <w:pPr>
        <w:spacing w:line="360" w:lineRule="auto" w:before="0" w:after="120"/>
        <w:jc w:val="both"/>
      </w:pPr>
      <w:r>
        <w:rPr>
          <w:rFonts w:ascii="Times New Roman" w:hAnsi="Times New Roman" w:eastAsia="Times New Roman"/>
          <w:b w:val="0"/>
          <w:i w:val="0"/>
          <w:sz w:val="24"/>
        </w:rPr>
        <w:t>Les conférences et panels ont structuré le débat autour des grands enjeux de l’édition : économie numérique, industrialisation, futur du travail, chaînes de valeur, décision stratégique, éducation, régulation, éthique, souveraineté numérique, transformation économique et diplomatie économique.</w:t>
      </w:r>
    </w:p>
    <w:p>
      <w:pPr>
        <w:spacing w:before="200" w:after="80" w:line="360" w:lineRule="auto"/>
        <w:jc w:val="both"/>
      </w:pPr>
      <w:r>
        <w:rPr>
          <w:rFonts w:ascii="Times New Roman" w:hAnsi="Times New Roman" w:eastAsia="Times New Roman"/>
          <w:b/>
          <w:i w:val="0"/>
          <w:color w:val="1F2F6D"/>
          <w:sz w:val="24"/>
        </w:rPr>
        <w:t>7.6 Le fireside chat — Success stories</w:t>
      </w:r>
    </w:p>
    <w:p>
      <w:pPr>
        <w:spacing w:line="360" w:lineRule="auto" w:before="0" w:after="120"/>
        <w:jc w:val="both"/>
      </w:pPr>
      <w:r>
        <w:rPr>
          <w:rFonts w:ascii="Times New Roman" w:hAnsi="Times New Roman" w:eastAsia="Times New Roman"/>
          <w:b w:val="0"/>
          <w:i w:val="0"/>
          <w:sz w:val="24"/>
        </w:rPr>
        <w:t>Le fireside chat a permis de mettre en lumière des trajectoires de talents camerounais et africains évoluant dans les métiers de la data et de l’intelligence artificielle à l’international. Cette séquence a renforcé l’idée selon laquelle la diaspora technologique constitue une ressource stratégique pour le transfert de compétences, le mentorat et l’ouverture de nouveaux marchés.</w:t>
      </w:r>
    </w:p>
    <w:p>
      <w:pPr>
        <w:spacing w:before="240" w:after="120" w:line="360" w:lineRule="auto"/>
        <w:jc w:val="left"/>
      </w:pPr>
      <w:r>
        <w:rPr>
          <w:rFonts w:ascii="Times New Roman" w:hAnsi="Times New Roman" w:eastAsia="Times New Roman"/>
          <w:b/>
          <w:i w:val="0"/>
          <w:color w:val="1F2F6D"/>
          <w:sz w:val="24"/>
        </w:rPr>
        <w:t>8. CONTENUS SCIENTIFIQUES, ÉCONOMIQUES ET INSTITUTIONNELS</w:t>
      </w:r>
    </w:p>
    <w:p>
      <w:pPr>
        <w:spacing w:before="200" w:after="80" w:line="360" w:lineRule="auto"/>
        <w:jc w:val="both"/>
      </w:pPr>
      <w:r>
        <w:rPr>
          <w:rFonts w:ascii="Times New Roman" w:hAnsi="Times New Roman" w:eastAsia="Times New Roman"/>
          <w:b/>
          <w:i w:val="0"/>
          <w:color w:val="1F2F6D"/>
          <w:sz w:val="24"/>
        </w:rPr>
        <w:t>8.1 IA, industrialisation et compétitivité</w:t>
      </w:r>
    </w:p>
    <w:p>
      <w:pPr>
        <w:spacing w:line="360" w:lineRule="auto" w:before="0" w:after="120"/>
        <w:jc w:val="both"/>
      </w:pPr>
      <w:r>
        <w:rPr>
          <w:rFonts w:ascii="Times New Roman" w:hAnsi="Times New Roman" w:eastAsia="Times New Roman"/>
          <w:b w:val="0"/>
          <w:i w:val="0"/>
          <w:sz w:val="24"/>
        </w:rPr>
        <w:t>L’un des axes majeurs de l’édition a été l’IA comme moteur d’industrialisation durable. Dans un pays qui cherche à renforcer ses capacités productives, cette question est centrale. L’IA peut contribuer à optimiser les procédés, améliorer la maintenance, réduire les pertes, anticiper les risques, renforcer la qualité, accélérer la prise de décision et ouvrir de nouveaux marchés.</w:t>
      </w:r>
    </w:p>
    <w:p>
      <w:pPr>
        <w:spacing w:before="200" w:after="80" w:line="360" w:lineRule="auto"/>
        <w:jc w:val="both"/>
      </w:pPr>
      <w:r>
        <w:rPr>
          <w:rFonts w:ascii="Times New Roman" w:hAnsi="Times New Roman" w:eastAsia="Times New Roman"/>
          <w:b/>
          <w:i w:val="0"/>
          <w:color w:val="1F2F6D"/>
          <w:sz w:val="24"/>
        </w:rPr>
        <w:t>8.2 IA et futur du travail</w:t>
      </w:r>
    </w:p>
    <w:p>
      <w:pPr>
        <w:spacing w:line="360" w:lineRule="auto" w:before="0" w:after="120"/>
        <w:jc w:val="both"/>
      </w:pPr>
      <w:r>
        <w:rPr>
          <w:rFonts w:ascii="Times New Roman" w:hAnsi="Times New Roman" w:eastAsia="Times New Roman"/>
          <w:b w:val="0"/>
          <w:i w:val="0"/>
          <w:sz w:val="24"/>
        </w:rPr>
        <w:t>Les débats sur l’automatisation intelligente ont permis de poser la question de l’évolution des métiers. L’IA transforme les compétences attendues, les processus internes, les tâches administratives, la productivité individuelle et les modèles d’organisation.</w:t>
      </w:r>
    </w:p>
    <w:p>
      <w:pPr>
        <w:spacing w:before="200" w:after="80" w:line="360" w:lineRule="auto"/>
        <w:jc w:val="both"/>
      </w:pPr>
      <w:r>
        <w:rPr>
          <w:rFonts w:ascii="Times New Roman" w:hAnsi="Times New Roman" w:eastAsia="Times New Roman"/>
          <w:b/>
          <w:i w:val="0"/>
          <w:color w:val="1F2F6D"/>
          <w:sz w:val="24"/>
        </w:rPr>
        <w:t>8.3 IA, éthique et régulation</w:t>
      </w:r>
    </w:p>
    <w:p>
      <w:pPr>
        <w:spacing w:line="360" w:lineRule="auto" w:before="0" w:after="120"/>
        <w:jc w:val="both"/>
      </w:pPr>
      <w:r>
        <w:rPr>
          <w:rFonts w:ascii="Times New Roman" w:hAnsi="Times New Roman" w:eastAsia="Times New Roman"/>
          <w:b w:val="0"/>
          <w:i w:val="0"/>
          <w:sz w:val="24"/>
        </w:rPr>
        <w:t>La question de l’éthique et de la régulation a occupé une place importante dans les discussions. Les participants ont souligné la nécessité d’un cadre permettant de protéger les citoyens, d’assurer une utilisation responsable des données, de limiter les biais, de prévenir les usages abusifs et de garantir la transparence des systèmes.</w:t>
      </w:r>
    </w:p>
    <w:p>
      <w:pPr>
        <w:spacing w:before="200" w:after="80" w:line="360" w:lineRule="auto"/>
        <w:jc w:val="both"/>
      </w:pPr>
      <w:r>
        <w:rPr>
          <w:rFonts w:ascii="Times New Roman" w:hAnsi="Times New Roman" w:eastAsia="Times New Roman"/>
          <w:b/>
          <w:i w:val="0"/>
          <w:color w:val="1F2F6D"/>
          <w:sz w:val="24"/>
        </w:rPr>
        <w:t>8.4 IA, données et souveraineté numérique</w:t>
      </w:r>
    </w:p>
    <w:p>
      <w:pPr>
        <w:spacing w:line="360" w:lineRule="auto" w:before="0" w:after="120"/>
        <w:jc w:val="both"/>
      </w:pPr>
      <w:r>
        <w:rPr>
          <w:rFonts w:ascii="Times New Roman" w:hAnsi="Times New Roman" w:eastAsia="Times New Roman"/>
          <w:b w:val="0"/>
          <w:i w:val="0"/>
          <w:sz w:val="24"/>
        </w:rPr>
        <w:t>L’IA repose sur les données. Or, la qualité, la disponibilité, la représentativité et la gouvernance des données restent des défis majeurs pour les pays africains. Les JCIA 2025 ont rappelé que le Cameroun doit investir dans des écosystèmes de données contextualisées, sécurisées et utiles aux secteurs prioritaires.</w:t>
      </w:r>
    </w:p>
    <w:p>
      <w:pPr>
        <w:spacing w:before="200" w:after="80" w:line="360" w:lineRule="auto"/>
        <w:jc w:val="both"/>
      </w:pPr>
      <w:r>
        <w:rPr>
          <w:rFonts w:ascii="Times New Roman" w:hAnsi="Times New Roman" w:eastAsia="Times New Roman"/>
          <w:b/>
          <w:i w:val="0"/>
          <w:color w:val="1F2F6D"/>
          <w:sz w:val="24"/>
        </w:rPr>
        <w:t>8.5 IA, entrepreneuriat et startups</w:t>
      </w:r>
    </w:p>
    <w:p>
      <w:pPr>
        <w:spacing w:line="360" w:lineRule="auto" w:before="0" w:after="120"/>
        <w:jc w:val="both"/>
      </w:pPr>
      <w:r>
        <w:rPr>
          <w:rFonts w:ascii="Times New Roman" w:hAnsi="Times New Roman" w:eastAsia="Times New Roman"/>
          <w:b w:val="0"/>
          <w:i w:val="0"/>
          <w:sz w:val="24"/>
        </w:rPr>
        <w:t>L’édition 2025 a accordé une attention particulière aux startups et aux jeunes innovateurs. Cette orientation est essentielle, car l’écosystème entrepreneurial constitue l’un des moteurs les plus rapides de transformation technologique.</w:t>
      </w:r>
    </w:p>
    <w:p>
      <w:pPr>
        <w:spacing w:before="200" w:after="80" w:line="360" w:lineRule="auto"/>
        <w:jc w:val="both"/>
      </w:pPr>
      <w:r>
        <w:rPr>
          <w:rFonts w:ascii="Times New Roman" w:hAnsi="Times New Roman" w:eastAsia="Times New Roman"/>
          <w:b/>
          <w:i w:val="0"/>
          <w:color w:val="1F2F6D"/>
          <w:sz w:val="24"/>
        </w:rPr>
        <w:t>8.6 IA et coopération internationale</w:t>
      </w:r>
    </w:p>
    <w:p>
      <w:pPr>
        <w:spacing w:line="360" w:lineRule="auto" w:before="0" w:after="120"/>
        <w:jc w:val="both"/>
      </w:pPr>
      <w:r>
        <w:rPr>
          <w:rFonts w:ascii="Times New Roman" w:hAnsi="Times New Roman" w:eastAsia="Times New Roman"/>
          <w:b w:val="0"/>
          <w:i w:val="0"/>
          <w:sz w:val="24"/>
        </w:rPr>
        <w:t>La participation des partenaires internationaux a renforcé la portée des JCIA. L’IA est une technologie globale, mais ses applications doivent être adaptées aux réalités locales. La coopération internationale peut jouer un rôle structurant dans la formation, le transfert de compétences, le financement de la recherche, l’appui aux politiques publiques et le développement de projets pilotes.</w:t>
      </w:r>
    </w:p>
    <w:p>
      <w:pPr>
        <w:spacing w:before="240" w:after="120" w:line="360" w:lineRule="auto"/>
        <w:jc w:val="left"/>
      </w:pPr>
      <w:r>
        <w:rPr>
          <w:rFonts w:ascii="Times New Roman" w:hAnsi="Times New Roman" w:eastAsia="Times New Roman"/>
          <w:b/>
          <w:i w:val="0"/>
          <w:color w:val="1F2F6D"/>
          <w:sz w:val="24"/>
        </w:rPr>
        <w:t>9. PARTICIPATION ET PUBLICS CIBLES</w:t>
      </w:r>
    </w:p>
    <w:p>
      <w:pPr>
        <w:spacing w:line="360" w:lineRule="auto" w:before="0" w:after="120"/>
        <w:jc w:val="both"/>
      </w:pPr>
      <w:r>
        <w:rPr>
          <w:rFonts w:ascii="Times New Roman" w:hAnsi="Times New Roman" w:eastAsia="Times New Roman"/>
          <w:b w:val="0"/>
          <w:i w:val="0"/>
          <w:sz w:val="24"/>
        </w:rPr>
        <w:t>Les JCIA 2025 ont été conçues pour accueillir un public diversifié. Cette diversité constitue l’une des forces de l’événement, car l’intelligence artificielle ne concerne pas seulement les ingénieurs ou les chercheurs. Elle concerne l’ensemble des secteurs de la société.</w:t>
      </w:r>
    </w:p>
    <w:p>
      <w:pPr>
        <w:spacing w:line="360" w:lineRule="auto" w:before="0" w:after="120"/>
        <w:jc w:val="both"/>
      </w:pPr>
      <w:r>
        <w:rPr>
          <w:rFonts w:ascii="Times New Roman" w:hAnsi="Times New Roman" w:eastAsia="Times New Roman"/>
          <w:b w:val="0"/>
          <w:i w:val="0"/>
          <w:sz w:val="24"/>
        </w:rPr>
        <w:t>Les publics cibles incluaient les administrations publiques, les ministères, les entreprises, les startups, les universités, les chercheurs, les étudiants, les développeurs, les porteurs de projets, les investisseurs, les médias, les organisations internationales, les partenaires techniques et les citoyens intéressés par les enjeux de la transformation numérique.</w:t>
      </w:r>
    </w:p>
    <w:p>
      <w:pPr>
        <w:spacing w:line="360" w:lineRule="auto" w:before="0" w:after="120"/>
        <w:jc w:val="both"/>
      </w:pPr>
      <w:r>
        <w:rPr>
          <w:rFonts w:ascii="Times New Roman" w:hAnsi="Times New Roman" w:eastAsia="Times New Roman"/>
          <w:b w:val="0"/>
          <w:i w:val="0"/>
          <w:sz w:val="24"/>
        </w:rPr>
        <w:t>La présence simultanée de ces acteurs a permis de décloisonner les débats. Les chercheurs ont pu dialoguer avec les entrepreneurs. Les institutions ont pu découvrir des solutions locales. Les étudiants ont pu rencontrer des professionnels. Les startups ont pu gagner en visibilité. Les partenaires ont pu identifier des opportunités d’engagement.</w:t>
      </w:r>
    </w:p>
    <w:p>
      <w:pPr>
        <w:spacing w:before="240" w:after="120" w:line="360" w:lineRule="auto"/>
        <w:jc w:val="left"/>
      </w:pPr>
      <w:r>
        <w:rPr>
          <w:rFonts w:ascii="Times New Roman" w:hAnsi="Times New Roman" w:eastAsia="Times New Roman"/>
          <w:b/>
          <w:i w:val="0"/>
          <w:color w:val="1F2F6D"/>
          <w:sz w:val="24"/>
        </w:rPr>
        <w:t>10. PARTENAIRES, SPONSORS ET INSTITUTIONS ASSOCIÉES</w:t>
      </w:r>
    </w:p>
    <w:p>
      <w:pPr>
        <w:spacing w:line="360" w:lineRule="auto" w:before="0" w:after="120"/>
        <w:jc w:val="both"/>
      </w:pPr>
      <w:r>
        <w:rPr>
          <w:rFonts w:ascii="Times New Roman" w:hAnsi="Times New Roman" w:eastAsia="Times New Roman"/>
          <w:b w:val="0"/>
          <w:i w:val="0"/>
          <w:sz w:val="24"/>
        </w:rPr>
        <w:t>La deuxième édition des JCIA a bénéficié de l’engagement de plusieurs partenaires institutionnels, techniques, académiques et diplomatiques. Leur mobilisation confirme l’importance croissante accordée à l’intelligence artificielle comme levier de développement.</w:t>
      </w:r>
    </w:p>
    <w:p>
      <w:pPr>
        <w:spacing w:line="360" w:lineRule="auto" w:before="0" w:after="120"/>
        <w:jc w:val="both"/>
      </w:pPr>
      <w:r>
        <w:rPr>
          <w:rFonts w:ascii="Times New Roman" w:hAnsi="Times New Roman" w:eastAsia="Times New Roman"/>
          <w:b w:val="0"/>
          <w:i w:val="0"/>
          <w:sz w:val="24"/>
        </w:rPr>
        <w:t>La valorisation des partenaires doit aller au-delà de la simple insertion de logos. Elle doit montrer leur contribution concrète : soutien financier, expertise, mobilisation de réseaux, animation de sessions, appui technique, visibilité média, accompagnement des startups, participation aux panels ou contribution aux recommandations.</w:t>
      </w:r>
    </w:p>
    <w:tbl>
      <w:tblPr>
        <w:tblW w:type="auto" w:w="0"/>
        <w:jc w:val="center"/>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184"/>
      </w:tblGrid>
      <w:tr>
        <w:tc>
          <w:tcPr>
            <w:tcW w:type="dxa" w:w="9184"/>
            <w:shd w:fill="F2F2F2"/>
          </w:tcPr>
          <w:p>
            <w:pPr>
              <w:spacing w:line="360" w:lineRule="auto" w:before="360" w:after="360"/>
              <w:jc w:val="center"/>
            </w:pPr>
            <w:r>
              <w:rPr>
                <w:rFonts w:ascii="Times New Roman" w:hAnsi="Times New Roman" w:eastAsia="Times New Roman"/>
                <w:b/>
                <w:i w:val="0"/>
                <w:color w:val="1F2F6D"/>
                <w:sz w:val="24"/>
              </w:rPr>
              <w:t xml:space="preserve">PHOTO À INSÉRER — </w:t>
            </w:r>
            <w:r>
              <w:rPr>
                <w:rFonts w:ascii="Times New Roman" w:hAnsi="Times New Roman" w:eastAsia="Times New Roman"/>
                <w:b w:val="0"/>
                <w:i/>
                <w:sz w:val="24"/>
              </w:rPr>
              <w:t>bandeau partenaires ou photo protocolaire valorisant les institutions, sponsors, partenaires techniques et organisations associées.</w:t>
            </w:r>
          </w:p>
        </w:tc>
      </w:tr>
    </w:tbl>
    <w:p>
      <w:pPr>
        <w:spacing w:before="240" w:after="120" w:line="360" w:lineRule="auto"/>
        <w:jc w:val="left"/>
      </w:pPr>
      <w:r>
        <w:rPr>
          <w:rFonts w:ascii="Times New Roman" w:hAnsi="Times New Roman" w:eastAsia="Times New Roman"/>
          <w:b/>
          <w:i w:val="0"/>
          <w:color w:val="1F2F6D"/>
          <w:sz w:val="24"/>
        </w:rPr>
        <w:t>11. COMMUNICATION, VISIBILITÉ, MÉDIAS ET ICONOGRAPHIE</w:t>
      </w:r>
    </w:p>
    <w:p>
      <w:pPr>
        <w:spacing w:line="360" w:lineRule="auto" w:before="0" w:after="120"/>
        <w:jc w:val="both"/>
      </w:pPr>
      <w:r>
        <w:rPr>
          <w:rFonts w:ascii="Times New Roman" w:hAnsi="Times New Roman" w:eastAsia="Times New Roman"/>
          <w:b w:val="0"/>
          <w:i w:val="0"/>
          <w:sz w:val="24"/>
        </w:rPr>
        <w:t>La communication a constitué un levier stratégique de mobilisation autour des JCIA 2025. Elle devait permettre d’informer le public, de valoriser les intervenants, d’attirer les partenaires, de promouvoir les exposants, de renforcer la crédibilité de l’événement et de prolonger son impact au-delà des trois journées.</w:t>
      </w:r>
    </w:p>
    <w:p>
      <w:pPr>
        <w:spacing w:line="360" w:lineRule="auto" w:before="0" w:after="120"/>
        <w:jc w:val="both"/>
      </w:pPr>
      <w:r>
        <w:rPr>
          <w:rFonts w:ascii="Times New Roman" w:hAnsi="Times New Roman" w:eastAsia="Times New Roman"/>
          <w:b w:val="0"/>
          <w:i w:val="0"/>
          <w:sz w:val="24"/>
        </w:rPr>
        <w:t>La couverture médiatique a mobilisé plusieurs médias nationaux, notamment la CRTV et Canal 2, ainsi que d’autres organes de presse, chaînes et plateformes à intégrer dans la version archivée de l’événement.</w:t>
      </w:r>
    </w:p>
    <w:p>
      <w:pPr>
        <w:spacing w:before="200" w:after="80" w:line="360" w:lineRule="auto"/>
        <w:jc w:val="both"/>
      </w:pPr>
      <w:r>
        <w:rPr>
          <w:rFonts w:ascii="Times New Roman" w:hAnsi="Times New Roman" w:eastAsia="Times New Roman"/>
          <w:b/>
          <w:i w:val="0"/>
          <w:color w:val="1F2F6D"/>
          <w:sz w:val="24"/>
        </w:rPr>
        <w:t>11.1 Indications pour les photos à intégrer</w:t>
      </w:r>
    </w:p>
    <w:tbl>
      <w:tblPr>
        <w:tblStyle w:val="TableGrid"/>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84"/>
        <w:gridCol w:w="3798"/>
        <w:gridCol w:w="3288"/>
      </w:tblGrid>
      <w:tr>
        <w:trPr>
          <w:tblHeader w:val="true"/>
        </w:trPr>
        <w:tc>
          <w:tcPr>
            <w:tcW w:type="dxa" w:w="1984"/>
            <w:vAlign w:val="center"/>
            <w:shd w:fill="1F2F6D"/>
          </w:tcPr>
          <w:p>
            <w:pPr>
              <w:spacing w:line="360" w:lineRule="auto"/>
              <w:jc w:val="left"/>
            </w:pPr>
            <w:r/>
            <w:r>
              <w:rPr>
                <w:rFonts w:ascii="Times New Roman" w:hAnsi="Times New Roman" w:eastAsia="Times New Roman"/>
                <w:b/>
                <w:color w:val="FFFFFF"/>
                <w:sz w:val="24"/>
              </w:rPr>
              <w:t>Emplacement</w:t>
            </w:r>
          </w:p>
        </w:tc>
        <w:tc>
          <w:tcPr>
            <w:tcW w:type="dxa" w:w="3798"/>
            <w:vAlign w:val="center"/>
            <w:shd w:fill="1F2F6D"/>
          </w:tcPr>
          <w:p>
            <w:pPr>
              <w:spacing w:line="360" w:lineRule="auto"/>
              <w:jc w:val="left"/>
            </w:pPr>
            <w:r/>
            <w:r>
              <w:rPr>
                <w:rFonts w:ascii="Times New Roman" w:hAnsi="Times New Roman" w:eastAsia="Times New Roman"/>
                <w:b/>
                <w:color w:val="FFFFFF"/>
                <w:sz w:val="24"/>
              </w:rPr>
              <w:t>Type de photo attendu</w:t>
            </w:r>
          </w:p>
        </w:tc>
        <w:tc>
          <w:tcPr>
            <w:tcW w:type="dxa" w:w="3288"/>
            <w:vAlign w:val="center"/>
            <w:shd w:fill="1F2F6D"/>
          </w:tcPr>
          <w:p>
            <w:pPr>
              <w:spacing w:line="360" w:lineRule="auto"/>
              <w:jc w:val="left"/>
            </w:pPr>
            <w:r/>
            <w:r>
              <w:rPr>
                <w:rFonts w:ascii="Times New Roman" w:hAnsi="Times New Roman" w:eastAsia="Times New Roman"/>
                <w:b/>
                <w:color w:val="FFFFFF"/>
                <w:sz w:val="24"/>
              </w:rPr>
              <w:t>Intention éditoriale</w:t>
            </w:r>
          </w:p>
        </w:tc>
      </w:tr>
      <w:tr>
        <w:tc>
          <w:tcPr>
            <w:tcW w:type="dxa" w:w="1984"/>
            <w:vAlign w:val="center"/>
          </w:tcPr>
          <w:p>
            <w:pPr>
              <w:spacing w:line="360" w:lineRule="auto"/>
              <w:jc w:val="left"/>
            </w:pPr>
            <w:r/>
            <w:r>
              <w:rPr>
                <w:rFonts w:ascii="Times New Roman" w:hAnsi="Times New Roman" w:eastAsia="Times New Roman"/>
                <w:b w:val="0"/>
                <w:sz w:val="24"/>
              </w:rPr>
              <w:t>Couverture</w:t>
            </w:r>
          </w:p>
        </w:tc>
        <w:tc>
          <w:tcPr>
            <w:tcW w:type="dxa" w:w="3798"/>
            <w:vAlign w:val="center"/>
          </w:tcPr>
          <w:p>
            <w:pPr>
              <w:spacing w:line="360" w:lineRule="auto"/>
              <w:jc w:val="left"/>
            </w:pPr>
            <w:r/>
            <w:r>
              <w:rPr>
                <w:rFonts w:ascii="Times New Roman" w:hAnsi="Times New Roman" w:eastAsia="Times New Roman"/>
                <w:b w:val="0"/>
                <w:sz w:val="24"/>
              </w:rPr>
              <w:t>Photo forte de la cérémonie officielle ou vue large du public</w:t>
            </w:r>
          </w:p>
        </w:tc>
        <w:tc>
          <w:tcPr>
            <w:tcW w:type="dxa" w:w="3288"/>
            <w:vAlign w:val="center"/>
          </w:tcPr>
          <w:p>
            <w:pPr>
              <w:spacing w:line="360" w:lineRule="auto"/>
              <w:jc w:val="left"/>
            </w:pPr>
            <w:r/>
            <w:r>
              <w:rPr>
                <w:rFonts w:ascii="Times New Roman" w:hAnsi="Times New Roman" w:eastAsia="Times New Roman"/>
                <w:b w:val="0"/>
                <w:sz w:val="24"/>
              </w:rPr>
              <w:t>Montrer l’ampleur et le prestige de l’événement</w:t>
            </w:r>
          </w:p>
        </w:tc>
      </w:tr>
      <w:tr>
        <w:tc>
          <w:tcPr>
            <w:tcW w:type="dxa" w:w="1984"/>
            <w:vAlign w:val="center"/>
          </w:tcPr>
          <w:p>
            <w:pPr>
              <w:spacing w:line="360" w:lineRule="auto"/>
              <w:jc w:val="left"/>
            </w:pPr>
            <w:r/>
            <w:r>
              <w:rPr>
                <w:rFonts w:ascii="Times New Roman" w:hAnsi="Times New Roman" w:eastAsia="Times New Roman"/>
                <w:b w:val="0"/>
                <w:sz w:val="24"/>
              </w:rPr>
              <w:t>Synthèse exécutive</w:t>
            </w:r>
          </w:p>
        </w:tc>
        <w:tc>
          <w:tcPr>
            <w:tcW w:type="dxa" w:w="3798"/>
            <w:vAlign w:val="center"/>
          </w:tcPr>
          <w:p>
            <w:pPr>
              <w:spacing w:line="360" w:lineRule="auto"/>
              <w:jc w:val="left"/>
            </w:pPr>
            <w:r/>
            <w:r>
              <w:rPr>
                <w:rFonts w:ascii="Times New Roman" w:hAnsi="Times New Roman" w:eastAsia="Times New Roman"/>
                <w:b w:val="0"/>
                <w:sz w:val="24"/>
              </w:rPr>
              <w:t>Photo panoramique de salle avec participants</w:t>
            </w:r>
          </w:p>
        </w:tc>
        <w:tc>
          <w:tcPr>
            <w:tcW w:type="dxa" w:w="3288"/>
            <w:vAlign w:val="center"/>
          </w:tcPr>
          <w:p>
            <w:pPr>
              <w:spacing w:line="360" w:lineRule="auto"/>
              <w:jc w:val="left"/>
            </w:pPr>
            <w:r/>
            <w:r>
              <w:rPr>
                <w:rFonts w:ascii="Times New Roman" w:hAnsi="Times New Roman" w:eastAsia="Times New Roman"/>
                <w:b w:val="0"/>
                <w:sz w:val="24"/>
              </w:rPr>
              <w:t>Traduire la mobilisation et l’échelle des JCIA 2025</w:t>
            </w:r>
          </w:p>
        </w:tc>
      </w:tr>
      <w:tr>
        <w:tc>
          <w:tcPr>
            <w:tcW w:type="dxa" w:w="1984"/>
            <w:vAlign w:val="center"/>
          </w:tcPr>
          <w:p>
            <w:pPr>
              <w:spacing w:line="360" w:lineRule="auto"/>
              <w:jc w:val="left"/>
            </w:pPr>
            <w:r/>
            <w:r>
              <w:rPr>
                <w:rFonts w:ascii="Times New Roman" w:hAnsi="Times New Roman" w:eastAsia="Times New Roman"/>
                <w:b w:val="0"/>
                <w:sz w:val="24"/>
              </w:rPr>
              <w:t>Ouverture</w:t>
            </w:r>
          </w:p>
        </w:tc>
        <w:tc>
          <w:tcPr>
            <w:tcW w:type="dxa" w:w="3798"/>
            <w:vAlign w:val="center"/>
          </w:tcPr>
          <w:p>
            <w:pPr>
              <w:spacing w:line="360" w:lineRule="auto"/>
              <w:jc w:val="left"/>
            </w:pPr>
            <w:r/>
            <w:r>
              <w:rPr>
                <w:rFonts w:ascii="Times New Roman" w:hAnsi="Times New Roman" w:eastAsia="Times New Roman"/>
                <w:b w:val="0"/>
                <w:sz w:val="24"/>
              </w:rPr>
              <w:t>Photo protocolaire avec officiels, partenaires et organisateurs</w:t>
            </w:r>
          </w:p>
        </w:tc>
        <w:tc>
          <w:tcPr>
            <w:tcW w:type="dxa" w:w="3288"/>
            <w:vAlign w:val="center"/>
          </w:tcPr>
          <w:p>
            <w:pPr>
              <w:spacing w:line="360" w:lineRule="auto"/>
              <w:jc w:val="left"/>
            </w:pPr>
            <w:r/>
            <w:r>
              <w:rPr>
                <w:rFonts w:ascii="Times New Roman" w:hAnsi="Times New Roman" w:eastAsia="Times New Roman"/>
                <w:b w:val="0"/>
                <w:sz w:val="24"/>
              </w:rPr>
              <w:t>Installer la crédibilité institutionnelle</w:t>
            </w:r>
          </w:p>
        </w:tc>
      </w:tr>
      <w:tr>
        <w:tc>
          <w:tcPr>
            <w:tcW w:type="dxa" w:w="1984"/>
            <w:vAlign w:val="center"/>
          </w:tcPr>
          <w:p>
            <w:pPr>
              <w:spacing w:line="360" w:lineRule="auto"/>
              <w:jc w:val="left"/>
            </w:pPr>
            <w:r/>
            <w:r>
              <w:rPr>
                <w:rFonts w:ascii="Times New Roman" w:hAnsi="Times New Roman" w:eastAsia="Times New Roman"/>
                <w:b w:val="0"/>
                <w:sz w:val="24"/>
              </w:rPr>
              <w:t>Salon 100 % IA</w:t>
            </w:r>
          </w:p>
        </w:tc>
        <w:tc>
          <w:tcPr>
            <w:tcW w:type="dxa" w:w="3798"/>
            <w:vAlign w:val="center"/>
          </w:tcPr>
          <w:p>
            <w:pPr>
              <w:spacing w:line="360" w:lineRule="auto"/>
              <w:jc w:val="left"/>
            </w:pPr>
            <w:r/>
            <w:r>
              <w:rPr>
                <w:rFonts w:ascii="Times New Roman" w:hAnsi="Times New Roman" w:eastAsia="Times New Roman"/>
                <w:b w:val="0"/>
                <w:sz w:val="24"/>
              </w:rPr>
              <w:t>Photo de démonstration technologique, stand, drone, VR ou solution IA</w:t>
            </w:r>
          </w:p>
        </w:tc>
        <w:tc>
          <w:tcPr>
            <w:tcW w:type="dxa" w:w="3288"/>
            <w:vAlign w:val="center"/>
          </w:tcPr>
          <w:p>
            <w:pPr>
              <w:spacing w:line="360" w:lineRule="auto"/>
              <w:jc w:val="left"/>
            </w:pPr>
            <w:r/>
            <w:r>
              <w:rPr>
                <w:rFonts w:ascii="Times New Roman" w:hAnsi="Times New Roman" w:eastAsia="Times New Roman"/>
                <w:b w:val="0"/>
                <w:sz w:val="24"/>
              </w:rPr>
              <w:t>Montrer l’innovation concrète</w:t>
            </w:r>
          </w:p>
        </w:tc>
      </w:tr>
      <w:tr>
        <w:tc>
          <w:tcPr>
            <w:tcW w:type="dxa" w:w="1984"/>
            <w:vAlign w:val="center"/>
          </w:tcPr>
          <w:p>
            <w:pPr>
              <w:spacing w:line="360" w:lineRule="auto"/>
              <w:jc w:val="left"/>
            </w:pPr>
            <w:r/>
            <w:r>
              <w:rPr>
                <w:rFonts w:ascii="Times New Roman" w:hAnsi="Times New Roman" w:eastAsia="Times New Roman"/>
                <w:b w:val="0"/>
                <w:sz w:val="24"/>
              </w:rPr>
              <w:t>Panels</w:t>
            </w:r>
          </w:p>
        </w:tc>
        <w:tc>
          <w:tcPr>
            <w:tcW w:type="dxa" w:w="3798"/>
            <w:vAlign w:val="center"/>
          </w:tcPr>
          <w:p>
            <w:pPr>
              <w:spacing w:line="360" w:lineRule="auto"/>
              <w:jc w:val="left"/>
            </w:pPr>
            <w:r/>
            <w:r>
              <w:rPr>
                <w:rFonts w:ascii="Times New Roman" w:hAnsi="Times New Roman" w:eastAsia="Times New Roman"/>
                <w:b w:val="0"/>
                <w:sz w:val="24"/>
              </w:rPr>
              <w:t>Photo d’un panel ou d’un intervenant en prise de parole</w:t>
            </w:r>
          </w:p>
        </w:tc>
        <w:tc>
          <w:tcPr>
            <w:tcW w:type="dxa" w:w="3288"/>
            <w:vAlign w:val="center"/>
          </w:tcPr>
          <w:p>
            <w:pPr>
              <w:spacing w:line="360" w:lineRule="auto"/>
              <w:jc w:val="left"/>
            </w:pPr>
            <w:r/>
            <w:r>
              <w:rPr>
                <w:rFonts w:ascii="Times New Roman" w:hAnsi="Times New Roman" w:eastAsia="Times New Roman"/>
                <w:b w:val="0"/>
                <w:sz w:val="24"/>
              </w:rPr>
              <w:t>Valoriser le contenu intellectuel et stratégique</w:t>
            </w:r>
          </w:p>
        </w:tc>
      </w:tr>
      <w:tr>
        <w:tc>
          <w:tcPr>
            <w:tcW w:type="dxa" w:w="1984"/>
            <w:vAlign w:val="center"/>
          </w:tcPr>
          <w:p>
            <w:pPr>
              <w:spacing w:line="360" w:lineRule="auto"/>
              <w:jc w:val="left"/>
            </w:pPr>
            <w:r/>
            <w:r>
              <w:rPr>
                <w:rFonts w:ascii="Times New Roman" w:hAnsi="Times New Roman" w:eastAsia="Times New Roman"/>
                <w:b w:val="0"/>
                <w:sz w:val="24"/>
              </w:rPr>
              <w:t>Masterclasses</w:t>
            </w:r>
          </w:p>
        </w:tc>
        <w:tc>
          <w:tcPr>
            <w:tcW w:type="dxa" w:w="3798"/>
            <w:vAlign w:val="center"/>
          </w:tcPr>
          <w:p>
            <w:pPr>
              <w:spacing w:line="360" w:lineRule="auto"/>
              <w:jc w:val="left"/>
            </w:pPr>
            <w:r/>
            <w:r>
              <w:rPr>
                <w:rFonts w:ascii="Times New Roman" w:hAnsi="Times New Roman" w:eastAsia="Times New Roman"/>
                <w:b w:val="0"/>
                <w:sz w:val="24"/>
              </w:rPr>
              <w:t>Photo d’atelier avec participants, écrans ou démonstrations</w:t>
            </w:r>
          </w:p>
        </w:tc>
        <w:tc>
          <w:tcPr>
            <w:tcW w:type="dxa" w:w="3288"/>
            <w:vAlign w:val="center"/>
          </w:tcPr>
          <w:p>
            <w:pPr>
              <w:spacing w:line="360" w:lineRule="auto"/>
              <w:jc w:val="left"/>
            </w:pPr>
            <w:r/>
            <w:r>
              <w:rPr>
                <w:rFonts w:ascii="Times New Roman" w:hAnsi="Times New Roman" w:eastAsia="Times New Roman"/>
                <w:b w:val="0"/>
                <w:sz w:val="24"/>
              </w:rPr>
              <w:t>Montrer la montée en compétences</w:t>
            </w:r>
          </w:p>
        </w:tc>
      </w:tr>
      <w:tr>
        <w:tc>
          <w:tcPr>
            <w:tcW w:type="dxa" w:w="1984"/>
            <w:vAlign w:val="center"/>
          </w:tcPr>
          <w:p>
            <w:pPr>
              <w:spacing w:line="360" w:lineRule="auto"/>
              <w:jc w:val="left"/>
            </w:pPr>
            <w:r/>
            <w:r>
              <w:rPr>
                <w:rFonts w:ascii="Times New Roman" w:hAnsi="Times New Roman" w:eastAsia="Times New Roman"/>
                <w:b w:val="0"/>
                <w:sz w:val="24"/>
              </w:rPr>
              <w:t>Awards</w:t>
            </w:r>
          </w:p>
        </w:tc>
        <w:tc>
          <w:tcPr>
            <w:tcW w:type="dxa" w:w="3798"/>
            <w:vAlign w:val="center"/>
          </w:tcPr>
          <w:p>
            <w:pPr>
              <w:spacing w:line="360" w:lineRule="auto"/>
              <w:jc w:val="left"/>
            </w:pPr>
            <w:r/>
            <w:r>
              <w:rPr>
                <w:rFonts w:ascii="Times New Roman" w:hAnsi="Times New Roman" w:eastAsia="Times New Roman"/>
                <w:b w:val="0"/>
                <w:sz w:val="24"/>
              </w:rPr>
              <w:t>Photo de remise de prix ou de lauréats</w:t>
            </w:r>
          </w:p>
        </w:tc>
        <w:tc>
          <w:tcPr>
            <w:tcW w:type="dxa" w:w="3288"/>
            <w:vAlign w:val="center"/>
          </w:tcPr>
          <w:p>
            <w:pPr>
              <w:spacing w:line="360" w:lineRule="auto"/>
              <w:jc w:val="left"/>
            </w:pPr>
            <w:r/>
            <w:r>
              <w:rPr>
                <w:rFonts w:ascii="Times New Roman" w:hAnsi="Times New Roman" w:eastAsia="Times New Roman"/>
                <w:b w:val="0"/>
                <w:sz w:val="24"/>
              </w:rPr>
              <w:t>Valoriser les talents</w:t>
            </w:r>
          </w:p>
        </w:tc>
      </w:tr>
      <w:tr>
        <w:tc>
          <w:tcPr>
            <w:tcW w:type="dxa" w:w="1984"/>
            <w:vAlign w:val="center"/>
          </w:tcPr>
          <w:p>
            <w:pPr>
              <w:spacing w:line="360" w:lineRule="auto"/>
              <w:jc w:val="left"/>
            </w:pPr>
            <w:r/>
            <w:r>
              <w:rPr>
                <w:rFonts w:ascii="Times New Roman" w:hAnsi="Times New Roman" w:eastAsia="Times New Roman"/>
                <w:b w:val="0"/>
                <w:sz w:val="24"/>
              </w:rPr>
              <w:t>Networking</w:t>
            </w:r>
          </w:p>
        </w:tc>
        <w:tc>
          <w:tcPr>
            <w:tcW w:type="dxa" w:w="3798"/>
            <w:vAlign w:val="center"/>
          </w:tcPr>
          <w:p>
            <w:pPr>
              <w:spacing w:line="360" w:lineRule="auto"/>
              <w:jc w:val="left"/>
            </w:pPr>
            <w:r/>
            <w:r>
              <w:rPr>
                <w:rFonts w:ascii="Times New Roman" w:hAnsi="Times New Roman" w:eastAsia="Times New Roman"/>
                <w:b w:val="0"/>
                <w:sz w:val="24"/>
              </w:rPr>
              <w:t>Photo d’échanges entre participants ou partenaires</w:t>
            </w:r>
          </w:p>
        </w:tc>
        <w:tc>
          <w:tcPr>
            <w:tcW w:type="dxa" w:w="3288"/>
            <w:vAlign w:val="center"/>
          </w:tcPr>
          <w:p>
            <w:pPr>
              <w:spacing w:line="360" w:lineRule="auto"/>
              <w:jc w:val="left"/>
            </w:pPr>
            <w:r/>
            <w:r>
              <w:rPr>
                <w:rFonts w:ascii="Times New Roman" w:hAnsi="Times New Roman" w:eastAsia="Times New Roman"/>
                <w:b w:val="0"/>
                <w:sz w:val="24"/>
              </w:rPr>
              <w:t>Montrer la création de connexions</w:t>
            </w:r>
          </w:p>
        </w:tc>
      </w:tr>
      <w:tr>
        <w:tc>
          <w:tcPr>
            <w:tcW w:type="dxa" w:w="1984"/>
            <w:vAlign w:val="center"/>
          </w:tcPr>
          <w:p>
            <w:pPr>
              <w:spacing w:line="360" w:lineRule="auto"/>
              <w:jc w:val="left"/>
            </w:pPr>
            <w:r/>
            <w:r>
              <w:rPr>
                <w:rFonts w:ascii="Times New Roman" w:hAnsi="Times New Roman" w:eastAsia="Times New Roman"/>
                <w:b w:val="0"/>
                <w:sz w:val="24"/>
              </w:rPr>
              <w:t>Conclusion</w:t>
            </w:r>
          </w:p>
        </w:tc>
        <w:tc>
          <w:tcPr>
            <w:tcW w:type="dxa" w:w="3798"/>
            <w:vAlign w:val="center"/>
          </w:tcPr>
          <w:p>
            <w:pPr>
              <w:spacing w:line="360" w:lineRule="auto"/>
              <w:jc w:val="left"/>
            </w:pPr>
            <w:r/>
            <w:r>
              <w:rPr>
                <w:rFonts w:ascii="Times New Roman" w:hAnsi="Times New Roman" w:eastAsia="Times New Roman"/>
                <w:b w:val="0"/>
                <w:sz w:val="24"/>
              </w:rPr>
              <w:t>Photo de famille ou image de clôture</w:t>
            </w:r>
          </w:p>
        </w:tc>
        <w:tc>
          <w:tcPr>
            <w:tcW w:type="dxa" w:w="3288"/>
            <w:vAlign w:val="center"/>
          </w:tcPr>
          <w:p>
            <w:pPr>
              <w:spacing w:line="360" w:lineRule="auto"/>
              <w:jc w:val="left"/>
            </w:pPr>
            <w:r/>
            <w:r>
              <w:rPr>
                <w:rFonts w:ascii="Times New Roman" w:hAnsi="Times New Roman" w:eastAsia="Times New Roman"/>
                <w:b w:val="0"/>
                <w:sz w:val="24"/>
              </w:rPr>
              <w:t>Donner une impression d’unité et de continuité</w:t>
            </w:r>
          </w:p>
        </w:tc>
      </w:tr>
    </w:tbl>
    <w:p>
      <w:pPr>
        <w:spacing w:before="240" w:after="120" w:line="360" w:lineRule="auto"/>
        <w:jc w:val="left"/>
      </w:pPr>
      <w:r>
        <w:rPr>
          <w:rFonts w:ascii="Times New Roman" w:hAnsi="Times New Roman" w:eastAsia="Times New Roman"/>
          <w:b/>
          <w:i w:val="0"/>
          <w:color w:val="1F2F6D"/>
          <w:sz w:val="24"/>
        </w:rPr>
        <w:t>12. RÉSULTATS ET IMPACTS OBSERVÉS</w:t>
      </w:r>
    </w:p>
    <w:p>
      <w:pPr>
        <w:pStyle w:val="ListBullet"/>
        <w:spacing w:line="360" w:lineRule="auto" w:after="60"/>
        <w:jc w:val="both"/>
      </w:pPr>
      <w:r>
        <w:rPr>
          <w:rFonts w:ascii="Times New Roman" w:hAnsi="Times New Roman" w:eastAsia="Times New Roman"/>
          <w:sz w:val="24"/>
        </w:rPr>
        <w:t>Consolidation d’un espace national de dialogue sur l’intelligence artificielle, avec 3 000 participants réunis sur trois jours.</w:t>
      </w:r>
    </w:p>
    <w:p>
      <w:pPr>
        <w:pStyle w:val="ListBullet"/>
        <w:spacing w:line="360" w:lineRule="auto" w:after="60"/>
        <w:jc w:val="both"/>
      </w:pPr>
      <w:r>
        <w:rPr>
          <w:rFonts w:ascii="Times New Roman" w:hAnsi="Times New Roman" w:eastAsia="Times New Roman"/>
          <w:sz w:val="24"/>
        </w:rPr>
        <w:t>Élargissement de la portée internationale de l’événement, avec 200 participants en ligne et une audience touchant 10 pays.</w:t>
      </w:r>
    </w:p>
    <w:p>
      <w:pPr>
        <w:pStyle w:val="ListBullet"/>
        <w:spacing w:line="360" w:lineRule="auto" w:after="60"/>
        <w:jc w:val="both"/>
      </w:pPr>
      <w:r>
        <w:rPr>
          <w:rFonts w:ascii="Times New Roman" w:hAnsi="Times New Roman" w:eastAsia="Times New Roman"/>
          <w:sz w:val="24"/>
        </w:rPr>
        <w:t>Valorisation des solutions locales à travers les démonstrations, le salon d’exposition, les conférences Made in Cameroon, les masterclasses et les Awards.</w:t>
      </w:r>
    </w:p>
    <w:p>
      <w:pPr>
        <w:pStyle w:val="ListBullet"/>
        <w:spacing w:line="360" w:lineRule="auto" w:after="60"/>
        <w:jc w:val="both"/>
      </w:pPr>
      <w:r>
        <w:rPr>
          <w:rFonts w:ascii="Times New Roman" w:hAnsi="Times New Roman" w:eastAsia="Times New Roman"/>
          <w:sz w:val="24"/>
        </w:rPr>
        <w:t>Mobilisation communautaire autour de l’innovation, avec plus de 5 000 votants autour des Cameroon Artificial Intelligence Awards.</w:t>
      </w:r>
    </w:p>
    <w:p>
      <w:pPr>
        <w:pStyle w:val="ListBullet"/>
        <w:spacing w:line="360" w:lineRule="auto" w:after="60"/>
        <w:jc w:val="both"/>
      </w:pPr>
      <w:r>
        <w:rPr>
          <w:rFonts w:ascii="Times New Roman" w:hAnsi="Times New Roman" w:eastAsia="Times New Roman"/>
          <w:sz w:val="24"/>
        </w:rPr>
        <w:t>Montée en compétence des participants grâce aux masterclasses et aux échanges techniques.</w:t>
      </w:r>
    </w:p>
    <w:p>
      <w:pPr>
        <w:pStyle w:val="ListBullet"/>
        <w:spacing w:line="360" w:lineRule="auto" w:after="60"/>
        <w:jc w:val="both"/>
      </w:pPr>
      <w:r>
        <w:rPr>
          <w:rFonts w:ascii="Times New Roman" w:hAnsi="Times New Roman" w:eastAsia="Times New Roman"/>
          <w:sz w:val="24"/>
        </w:rPr>
        <w:t>Renforcement du dialogue public-privé entre institutions, entreprises, startups, chercheurs, partenaires, organisations internationales, médias et communautés technologiques.</w:t>
      </w:r>
    </w:p>
    <w:p>
      <w:pPr>
        <w:pStyle w:val="ListBullet"/>
        <w:spacing w:line="360" w:lineRule="auto" w:after="60"/>
        <w:jc w:val="both"/>
      </w:pPr>
      <w:r>
        <w:rPr>
          <w:rFonts w:ascii="Times New Roman" w:hAnsi="Times New Roman" w:eastAsia="Times New Roman"/>
          <w:sz w:val="24"/>
        </w:rPr>
        <w:t>Production de recommandations stratégiques utiles pour orienter les politiques publiques, les programmes de formation, les projets d’investissement et les actions d’accompagnement de l’écosystème.</w:t>
      </w:r>
    </w:p>
    <w:p>
      <w:pPr>
        <w:spacing w:before="240" w:after="120" w:line="360" w:lineRule="auto"/>
        <w:jc w:val="left"/>
      </w:pPr>
      <w:r>
        <w:rPr>
          <w:rFonts w:ascii="Times New Roman" w:hAnsi="Times New Roman" w:eastAsia="Times New Roman"/>
          <w:b/>
          <w:i w:val="0"/>
          <w:color w:val="1F2F6D"/>
          <w:sz w:val="24"/>
        </w:rPr>
        <w:t>13. RECOMMANDATIONS STRATÉGIQUES ISSUES DES JCIA 2025</w:t>
      </w:r>
    </w:p>
    <w:p>
      <w:pPr>
        <w:spacing w:line="360" w:lineRule="auto" w:before="0" w:after="120"/>
        <w:jc w:val="both"/>
      </w:pPr>
      <w:r>
        <w:rPr>
          <w:rFonts w:ascii="Times New Roman" w:hAnsi="Times New Roman" w:eastAsia="Times New Roman"/>
          <w:b w:val="0"/>
          <w:i w:val="0"/>
          <w:sz w:val="24"/>
        </w:rPr>
        <w:t>Les recommandations ci-dessous sont formulées à partir des grandes thématiques abordées pendant les trois journées des JCIA 2025. Elles ne constituent pas une retranscription verbatim des interventions, mais une consolidation stratégique fidèle à l’esprit des échanges, aux sujets programmés et aux enjeux soulevés par les intervenants. Elles sont présentées dans un format de conférence internationale, orienté décision, impact et passage à l’action.</w:t>
      </w:r>
    </w:p>
    <w:p>
      <w:pPr>
        <w:spacing w:before="200" w:after="80" w:line="360" w:lineRule="auto"/>
        <w:jc w:val="both"/>
      </w:pPr>
      <w:r>
        <w:rPr>
          <w:rFonts w:ascii="Times New Roman" w:hAnsi="Times New Roman" w:eastAsia="Times New Roman"/>
          <w:b/>
          <w:i w:val="0"/>
          <w:color w:val="1F2F6D"/>
          <w:sz w:val="24"/>
        </w:rPr>
        <w:t>13.1 Pouvoir public, souveraineté numérique et gouvernance nationale de l’IA</w:t>
      </w:r>
    </w:p>
    <w:p>
      <w:pPr>
        <w:spacing w:line="360" w:lineRule="auto" w:before="0" w:after="120"/>
        <w:jc w:val="both"/>
      </w:pPr>
      <w:r>
        <w:rPr>
          <w:rFonts w:ascii="Times New Roman" w:hAnsi="Times New Roman" w:eastAsia="Times New Roman"/>
          <w:b w:val="0"/>
          <w:i w:val="0"/>
          <w:sz w:val="24"/>
        </w:rPr>
        <w:t>Les JCIA 2025 ont réaffirmé que l’intelligence artificielle n’est plus seulement un sujet technologique. Elle devient une question de souveraineté, de compétitivité, de sécurité économique et de capacité d’action publique.</w:t>
      </w:r>
    </w:p>
    <w:p>
      <w:pPr>
        <w:spacing w:line="360" w:lineRule="auto" w:before="0" w:after="120"/>
        <w:jc w:val="both"/>
      </w:pPr>
      <w:r>
        <w:rPr>
          <w:rFonts w:ascii="Times New Roman" w:hAnsi="Times New Roman" w:eastAsia="Times New Roman"/>
          <w:b w:val="0"/>
          <w:i w:val="0"/>
          <w:sz w:val="24"/>
        </w:rPr>
        <w:t>Il est recommandé de mettre en place une stratégie nationale de l’intelligence artificielle, portée au plus haut niveau institutionnel, avec une feuille de route opérationnelle, des priorités sectorielles, des responsabilités clairement attribuées, des indicateurs mesurables et un mécanisme annuel de suivi.</w:t>
      </w:r>
    </w:p>
    <w:p>
      <w:pPr>
        <w:spacing w:line="360" w:lineRule="auto" w:before="0" w:after="120"/>
        <w:jc w:val="both"/>
      </w:pPr>
      <w:r>
        <w:rPr>
          <w:rFonts w:ascii="Times New Roman" w:hAnsi="Times New Roman" w:eastAsia="Times New Roman"/>
          <w:b w:val="0"/>
          <w:i w:val="0"/>
          <w:sz w:val="24"/>
        </w:rPr>
        <w:t>Il est également recommandé de créer un cadre national de coordination de l’IA associant l’État, les universités, les entreprises, les startups, les chercheurs, les partenaires techniques, les organisations internationales et la société civile.</w:t>
      </w:r>
    </w:p>
    <w:p>
      <w:pPr>
        <w:spacing w:before="200" w:after="80" w:line="360" w:lineRule="auto"/>
        <w:jc w:val="both"/>
      </w:pPr>
      <w:r>
        <w:rPr>
          <w:rFonts w:ascii="Times New Roman" w:hAnsi="Times New Roman" w:eastAsia="Times New Roman"/>
          <w:b/>
          <w:i w:val="0"/>
          <w:color w:val="1F2F6D"/>
          <w:sz w:val="24"/>
        </w:rPr>
        <w:t>13.2 IA, économie numérique, industrialisation et compétitivité</w:t>
      </w:r>
    </w:p>
    <w:p>
      <w:pPr>
        <w:spacing w:line="360" w:lineRule="auto" w:before="0" w:after="120"/>
        <w:jc w:val="both"/>
      </w:pPr>
      <w:r>
        <w:rPr>
          <w:rFonts w:ascii="Times New Roman" w:hAnsi="Times New Roman" w:eastAsia="Times New Roman"/>
          <w:b w:val="0"/>
          <w:i w:val="0"/>
          <w:sz w:val="24"/>
        </w:rPr>
        <w:t>Les échanges autour de l’intelligence artificielle comme pilier de l’économie numérique ont montré que l’IA peut devenir un accélérateur majeur de productivité, de transformation industrielle et de création de valeur.</w:t>
      </w:r>
    </w:p>
    <w:p>
      <w:pPr>
        <w:spacing w:line="360" w:lineRule="auto" w:before="0" w:after="120"/>
        <w:jc w:val="both"/>
      </w:pPr>
      <w:r>
        <w:rPr>
          <w:rFonts w:ascii="Times New Roman" w:hAnsi="Times New Roman" w:eastAsia="Times New Roman"/>
          <w:b w:val="0"/>
          <w:i w:val="0"/>
          <w:sz w:val="24"/>
        </w:rPr>
        <w:t>Il est recommandé d’identifier les secteurs économiques prioritaires dans lesquels l’IA peut produire un impact rapide et mesurable : agriculture, santé, éducation, logistique, finance, commerce, énergie, administration publique, industrie, transport, ports, sécurité urbaine et services aux citoyens.</w:t>
      </w:r>
    </w:p>
    <w:p>
      <w:pPr>
        <w:spacing w:line="360" w:lineRule="auto" w:before="0" w:after="120"/>
        <w:jc w:val="both"/>
      </w:pPr>
      <w:r>
        <w:rPr>
          <w:rFonts w:ascii="Times New Roman" w:hAnsi="Times New Roman" w:eastAsia="Times New Roman"/>
          <w:b w:val="0"/>
          <w:i w:val="0"/>
          <w:sz w:val="24"/>
        </w:rPr>
        <w:t>Il est recommandé de lancer des programmes pilotes sectoriels IA associant administrations, entreprises, chercheurs et startups, afin de tester des solutions en conditions réelles, mesurer les gains de performance et préparer le passage à l’échelle.</w:t>
      </w:r>
    </w:p>
    <w:p>
      <w:pPr>
        <w:spacing w:before="200" w:after="80" w:line="360" w:lineRule="auto"/>
        <w:jc w:val="both"/>
      </w:pPr>
      <w:r>
        <w:rPr>
          <w:rFonts w:ascii="Times New Roman" w:hAnsi="Times New Roman" w:eastAsia="Times New Roman"/>
          <w:b/>
          <w:i w:val="0"/>
          <w:color w:val="1F2F6D"/>
          <w:sz w:val="24"/>
        </w:rPr>
        <w:t>13.3 IA, diplomatie économique et coopération internationale</w:t>
      </w:r>
    </w:p>
    <w:p>
      <w:pPr>
        <w:spacing w:line="360" w:lineRule="auto" w:before="0" w:after="120"/>
        <w:jc w:val="both"/>
      </w:pPr>
      <w:r>
        <w:rPr>
          <w:rFonts w:ascii="Times New Roman" w:hAnsi="Times New Roman" w:eastAsia="Times New Roman"/>
          <w:b w:val="0"/>
          <w:i w:val="0"/>
          <w:sz w:val="24"/>
        </w:rPr>
        <w:t>La thématique de l’IAmatie a mis en évidence un enjeu majeur : l’IA redéfinit les rapports de puissance, les partenariats internationaux, l’attractivité des territoires et la capacité des pays à se positionner dans les nouvelles chaînes mondiales de valeur.</w:t>
      </w:r>
    </w:p>
    <w:p>
      <w:pPr>
        <w:spacing w:line="360" w:lineRule="auto" w:before="0" w:after="120"/>
        <w:jc w:val="both"/>
      </w:pPr>
      <w:r>
        <w:rPr>
          <w:rFonts w:ascii="Times New Roman" w:hAnsi="Times New Roman" w:eastAsia="Times New Roman"/>
          <w:b w:val="0"/>
          <w:i w:val="0"/>
          <w:sz w:val="24"/>
        </w:rPr>
        <w:t>Il est recommandé d’inscrire l’IA dans l’agenda diplomatique et économique du Cameroun, afin de mobiliser les représentations diplomatiques, les institutions de coopération et les partenaires internationaux autour de la formation, de la recherche, du transfert de compétences et du financement des startups.</w:t>
      </w:r>
    </w:p>
    <w:p>
      <w:pPr>
        <w:spacing w:line="360" w:lineRule="auto" w:before="0" w:after="120"/>
        <w:jc w:val="both"/>
      </w:pPr>
      <w:r>
        <w:rPr>
          <w:rFonts w:ascii="Times New Roman" w:hAnsi="Times New Roman" w:eastAsia="Times New Roman"/>
          <w:b w:val="0"/>
          <w:i w:val="0"/>
          <w:sz w:val="24"/>
        </w:rPr>
        <w:t>Il est également recommandé de positionner les JCIA comme une plateforme annuelle de diplomatie technologique capable d’accueillir des délégations étrangères, des investisseurs, des institutions multilatérales, des startups africaines et des experts internationaux.</w:t>
      </w:r>
    </w:p>
    <w:p>
      <w:pPr>
        <w:spacing w:before="200" w:after="80" w:line="360" w:lineRule="auto"/>
        <w:jc w:val="both"/>
      </w:pPr>
      <w:r>
        <w:rPr>
          <w:rFonts w:ascii="Times New Roman" w:hAnsi="Times New Roman" w:eastAsia="Times New Roman"/>
          <w:b/>
          <w:i w:val="0"/>
          <w:color w:val="1F2F6D"/>
          <w:sz w:val="24"/>
        </w:rPr>
        <w:t>13.4 IA éthique, inclusive et au service du bien commun</w:t>
      </w:r>
    </w:p>
    <w:p>
      <w:pPr>
        <w:spacing w:line="360" w:lineRule="auto" w:before="0" w:after="120"/>
        <w:jc w:val="both"/>
      </w:pPr>
      <w:r>
        <w:rPr>
          <w:rFonts w:ascii="Times New Roman" w:hAnsi="Times New Roman" w:eastAsia="Times New Roman"/>
          <w:b w:val="0"/>
          <w:i w:val="0"/>
          <w:sz w:val="24"/>
        </w:rPr>
        <w:t>Les discussions consacrées à l’IA, à l’humanité, à l’éthique, à l’inclusion et au bien commun ont rappelé que l’intelligence artificielle ne peut être durablement acceptée que si elle inspire confiance.</w:t>
      </w:r>
    </w:p>
    <w:p>
      <w:pPr>
        <w:spacing w:line="360" w:lineRule="auto" w:before="0" w:after="120"/>
        <w:jc w:val="both"/>
      </w:pPr>
      <w:r>
        <w:rPr>
          <w:rFonts w:ascii="Times New Roman" w:hAnsi="Times New Roman" w:eastAsia="Times New Roman"/>
          <w:b w:val="0"/>
          <w:i w:val="0"/>
          <w:sz w:val="24"/>
        </w:rPr>
        <w:t>Il est recommandé d’adopter un cadre national d’éthique de l’IA, aligné sur les principes internationaux tout en étant adapté aux réalités camerounaises. Ce cadre devrait intégrer la protection des données personnelles, la transparence, l’explicabilité, la responsabilité, la non-discrimination, la sécurité, la supervision humaine et l’inclusion.</w:t>
      </w:r>
    </w:p>
    <w:p>
      <w:pPr>
        <w:spacing w:line="360" w:lineRule="auto" w:before="0" w:after="120"/>
        <w:jc w:val="both"/>
      </w:pPr>
      <w:r>
        <w:rPr>
          <w:rFonts w:ascii="Times New Roman" w:hAnsi="Times New Roman" w:eastAsia="Times New Roman"/>
          <w:b w:val="0"/>
          <w:i w:val="0"/>
          <w:sz w:val="24"/>
        </w:rPr>
        <w:t>Il est également recommandé d’encourager les administrations, entreprises, universités et startups à intégrer des mécanismes d’évaluation éthique dès la conception des solutions IA.</w:t>
      </w:r>
    </w:p>
    <w:p>
      <w:pPr>
        <w:spacing w:before="200" w:after="80" w:line="360" w:lineRule="auto"/>
        <w:jc w:val="both"/>
      </w:pPr>
      <w:r>
        <w:rPr>
          <w:rFonts w:ascii="Times New Roman" w:hAnsi="Times New Roman" w:eastAsia="Times New Roman"/>
          <w:b/>
          <w:i w:val="0"/>
          <w:color w:val="1F2F6D"/>
          <w:sz w:val="24"/>
        </w:rPr>
        <w:t>13.5 Données locales, infrastructures et souveraineté algorithmique</w:t>
      </w:r>
    </w:p>
    <w:p>
      <w:pPr>
        <w:spacing w:line="360" w:lineRule="auto" w:before="0" w:after="120"/>
        <w:jc w:val="both"/>
      </w:pPr>
      <w:r>
        <w:rPr>
          <w:rFonts w:ascii="Times New Roman" w:hAnsi="Times New Roman" w:eastAsia="Times New Roman"/>
          <w:b w:val="0"/>
          <w:i w:val="0"/>
          <w:sz w:val="24"/>
        </w:rPr>
        <w:t>Sans données locales de qualité, il ne peut y avoir d’intelligence artificielle réellement adaptée au contexte camerounais. Les modèles importés peuvent produire des résultats utiles, mais ils restent exposés aux biais, aux erreurs de contexte et aux limites linguistiques, culturelles, économiques et sociales.</w:t>
      </w:r>
    </w:p>
    <w:p>
      <w:pPr>
        <w:spacing w:line="360" w:lineRule="auto" w:before="0" w:after="120"/>
        <w:jc w:val="both"/>
      </w:pPr>
      <w:r>
        <w:rPr>
          <w:rFonts w:ascii="Times New Roman" w:hAnsi="Times New Roman" w:eastAsia="Times New Roman"/>
          <w:b w:val="0"/>
          <w:i w:val="0"/>
          <w:sz w:val="24"/>
        </w:rPr>
        <w:t>Il est recommandé de mettre en place une politique nationale de données pour l’IA, fondée sur la collecte responsable, la qualité, la sécurité, l’interopérabilité, l’anonymisation et la valorisation des données dans les secteurs prioritaires.</w:t>
      </w:r>
    </w:p>
    <w:p>
      <w:pPr>
        <w:spacing w:line="360" w:lineRule="auto" w:before="0" w:after="120"/>
        <w:jc w:val="both"/>
      </w:pPr>
      <w:r>
        <w:rPr>
          <w:rFonts w:ascii="Times New Roman" w:hAnsi="Times New Roman" w:eastAsia="Times New Roman"/>
          <w:b w:val="0"/>
          <w:i w:val="0"/>
          <w:sz w:val="24"/>
        </w:rPr>
        <w:t>Il est également recommandé d’investir dans les infrastructures nécessaires au développement de l’IA : connectivité, cloud, centres de données, capacités de calcul, laboratoires universitaires, plateformes de test, environnements réglementaires expérimentaux et outils de cybersécurité.</w:t>
      </w:r>
    </w:p>
    <w:p>
      <w:pPr>
        <w:spacing w:before="200" w:after="80" w:line="360" w:lineRule="auto"/>
        <w:jc w:val="both"/>
      </w:pPr>
      <w:r>
        <w:rPr>
          <w:rFonts w:ascii="Times New Roman" w:hAnsi="Times New Roman" w:eastAsia="Times New Roman"/>
          <w:b/>
          <w:i w:val="0"/>
          <w:color w:val="1F2F6D"/>
          <w:sz w:val="24"/>
        </w:rPr>
        <w:t>13.6 IA, éducation, recherche et montée en compétences</w:t>
      </w:r>
    </w:p>
    <w:p>
      <w:pPr>
        <w:spacing w:line="360" w:lineRule="auto" w:before="0" w:after="120"/>
        <w:jc w:val="both"/>
      </w:pPr>
      <w:r>
        <w:rPr>
          <w:rFonts w:ascii="Times New Roman" w:hAnsi="Times New Roman" w:eastAsia="Times New Roman"/>
          <w:b w:val="0"/>
          <w:i w:val="0"/>
          <w:sz w:val="24"/>
        </w:rPr>
        <w:t>La thématique des intelligences éducatives a montré que l’éducation est le point de départ de toute stratégie IA crédible. Le Cameroun ne pourra pas construire un écosystème solide s’il ne forme pas massivement des talents capables de comprendre, utiliser, développer, réguler et auditer les systèmes d’intelligence artificielle.</w:t>
      </w:r>
    </w:p>
    <w:p>
      <w:pPr>
        <w:spacing w:line="360" w:lineRule="auto" w:before="0" w:after="120"/>
        <w:jc w:val="both"/>
      </w:pPr>
      <w:r>
        <w:rPr>
          <w:rFonts w:ascii="Times New Roman" w:hAnsi="Times New Roman" w:eastAsia="Times New Roman"/>
          <w:b w:val="0"/>
          <w:i w:val="0"/>
          <w:sz w:val="24"/>
        </w:rPr>
        <w:t>Il est recommandé d’intégrer progressivement l’IA dans les curricula des universités, grandes écoles, établissements techniques et programmes de formation professionnelle, au-delà des seuls parcours informatiques.</w:t>
      </w:r>
    </w:p>
    <w:p>
      <w:pPr>
        <w:spacing w:line="360" w:lineRule="auto" w:before="0" w:after="120"/>
        <w:jc w:val="both"/>
      </w:pPr>
      <w:r>
        <w:rPr>
          <w:rFonts w:ascii="Times New Roman" w:hAnsi="Times New Roman" w:eastAsia="Times New Roman"/>
          <w:b w:val="0"/>
          <w:i w:val="0"/>
          <w:sz w:val="24"/>
        </w:rPr>
        <w:t>Il est recommandé de créer des parcours de formation différenciés : initiation à l’IA pour le grand public, IA appliquée pour les professionnels, data literacy pour les managers, IA générative pour les entrepreneurs, machine learning pour les ingénieurs, éthique et régulation pour les juristes et décideurs.</w:t>
      </w:r>
    </w:p>
    <w:p>
      <w:pPr>
        <w:spacing w:before="200" w:after="80" w:line="360" w:lineRule="auto"/>
        <w:jc w:val="both"/>
      </w:pPr>
      <w:r>
        <w:rPr>
          <w:rFonts w:ascii="Times New Roman" w:hAnsi="Times New Roman" w:eastAsia="Times New Roman"/>
          <w:b/>
          <w:i w:val="0"/>
          <w:color w:val="1F2F6D"/>
          <w:sz w:val="24"/>
        </w:rPr>
        <w:t>13.7 IA générative, entrepreneuriat local et transformation des PME</w:t>
      </w:r>
    </w:p>
    <w:p>
      <w:pPr>
        <w:spacing w:line="360" w:lineRule="auto" w:before="0" w:after="120"/>
        <w:jc w:val="both"/>
      </w:pPr>
      <w:r>
        <w:rPr>
          <w:rFonts w:ascii="Times New Roman" w:hAnsi="Times New Roman" w:eastAsia="Times New Roman"/>
          <w:b w:val="0"/>
          <w:i w:val="0"/>
          <w:sz w:val="24"/>
        </w:rPr>
        <w:t>Les masterclasses consacrées aux agents IA, au Retrieval-Augmented Generation et à l’IA générative dans le contexte entrepreneurial local ont montré que les nouvelles générations d’outils IA peuvent offrir aux entrepreneurs camerounais des gains rapides en productivité, créativité, gestion, communication, prospection, analyse de marché et service client.</w:t>
      </w:r>
    </w:p>
    <w:p>
      <w:pPr>
        <w:spacing w:line="360" w:lineRule="auto" w:before="0" w:after="120"/>
        <w:jc w:val="both"/>
      </w:pPr>
      <w:r>
        <w:rPr>
          <w:rFonts w:ascii="Times New Roman" w:hAnsi="Times New Roman" w:eastAsia="Times New Roman"/>
          <w:b w:val="0"/>
          <w:i w:val="0"/>
          <w:sz w:val="24"/>
        </w:rPr>
        <w:t>Il est recommandé de lancer un programme national d’acculturation à l’IA générative pour les entrepreneurs et PME, avec des formations pratiques sur la rédaction assistée, la gestion de documents, l’automatisation de tâches, la création de contenus, l’analyse de données, le support client et la veille concurrentielle.</w:t>
      </w:r>
    </w:p>
    <w:p>
      <w:pPr>
        <w:spacing w:line="360" w:lineRule="auto" w:before="0" w:after="120"/>
        <w:jc w:val="both"/>
      </w:pPr>
      <w:r>
        <w:rPr>
          <w:rFonts w:ascii="Times New Roman" w:hAnsi="Times New Roman" w:eastAsia="Times New Roman"/>
          <w:b w:val="0"/>
          <w:i w:val="0"/>
          <w:sz w:val="24"/>
        </w:rPr>
        <w:t>Il est également recommandé de former les entrepreneurs aux limites et risques de ces outils : confidentialité, hallucinations, biais, dépendance technologique, propriété intellectuelle, exactitude des informations et cybersécurité.</w:t>
      </w:r>
    </w:p>
    <w:p>
      <w:pPr>
        <w:spacing w:before="200" w:after="80" w:line="360" w:lineRule="auto"/>
        <w:jc w:val="both"/>
      </w:pPr>
      <w:r>
        <w:rPr>
          <w:rFonts w:ascii="Times New Roman" w:hAnsi="Times New Roman" w:eastAsia="Times New Roman"/>
          <w:b/>
          <w:i w:val="0"/>
          <w:color w:val="1F2F6D"/>
          <w:sz w:val="24"/>
        </w:rPr>
        <w:t>13.8 IA Made in Cameroon et solutions communautaires</w:t>
      </w:r>
    </w:p>
    <w:p>
      <w:pPr>
        <w:spacing w:line="360" w:lineRule="auto" w:before="0" w:after="120"/>
        <w:jc w:val="both"/>
      </w:pPr>
      <w:r>
        <w:rPr>
          <w:rFonts w:ascii="Times New Roman" w:hAnsi="Times New Roman" w:eastAsia="Times New Roman"/>
          <w:b w:val="0"/>
          <w:i w:val="0"/>
          <w:sz w:val="24"/>
        </w:rPr>
        <w:t>La conférence consacrée à l’IA Made in Cameroon a rappelé que les meilleures solutions ne sont pas toujours celles qui viennent de l’extérieur, mais celles qui comprennent les contraintes locales, les besoins des communautés et les réalités du terrain.</w:t>
      </w:r>
    </w:p>
    <w:p>
      <w:pPr>
        <w:spacing w:line="360" w:lineRule="auto" w:before="0" w:after="120"/>
        <w:jc w:val="both"/>
      </w:pPr>
      <w:r>
        <w:rPr>
          <w:rFonts w:ascii="Times New Roman" w:hAnsi="Times New Roman" w:eastAsia="Times New Roman"/>
          <w:b w:val="0"/>
          <w:i w:val="0"/>
          <w:sz w:val="24"/>
        </w:rPr>
        <w:t>Il est recommandé de créer un label ou programme “IA Made in Cameroon” destiné à identifier, valoriser et accompagner les solutions développées localement.</w:t>
      </w:r>
    </w:p>
    <w:p>
      <w:pPr>
        <w:spacing w:line="360" w:lineRule="auto" w:before="0" w:after="120"/>
        <w:jc w:val="both"/>
      </w:pPr>
      <w:r>
        <w:rPr>
          <w:rFonts w:ascii="Times New Roman" w:hAnsi="Times New Roman" w:eastAsia="Times New Roman"/>
          <w:b w:val="0"/>
          <w:i w:val="0"/>
          <w:sz w:val="24"/>
        </w:rPr>
        <w:t>Il est également recommandé de soutenir les solutions IA orientées vers les défis communautaires : accès à l’éducation, santé de proximité, agriculture, transport, sécurité, inclusion financière, langues locales, formalisation des activités économiques, gestion urbaine et accès à l’information.</w:t>
      </w:r>
    </w:p>
    <w:p>
      <w:pPr>
        <w:spacing w:before="200" w:after="80" w:line="360" w:lineRule="auto"/>
        <w:jc w:val="both"/>
      </w:pPr>
      <w:r>
        <w:rPr>
          <w:rFonts w:ascii="Times New Roman" w:hAnsi="Times New Roman" w:eastAsia="Times New Roman"/>
          <w:b/>
          <w:i w:val="0"/>
          <w:color w:val="1F2F6D"/>
          <w:sz w:val="24"/>
        </w:rPr>
        <w:t>13.9 Talent diaspora, success stories et réseaux professionnels IA</w:t>
      </w:r>
    </w:p>
    <w:p>
      <w:pPr>
        <w:spacing w:line="360" w:lineRule="auto" w:before="0" w:after="120"/>
        <w:jc w:val="both"/>
      </w:pPr>
      <w:r>
        <w:rPr>
          <w:rFonts w:ascii="Times New Roman" w:hAnsi="Times New Roman" w:eastAsia="Times New Roman"/>
          <w:b w:val="0"/>
          <w:i w:val="0"/>
          <w:sz w:val="24"/>
        </w:rPr>
        <w:t>Le fireside chat consacré aux success stories a montré l’importance des parcours de talents camerounais et africains évoluant dans les métiers de la data et de l’intelligence artificielle à l’international.</w:t>
      </w:r>
    </w:p>
    <w:p>
      <w:pPr>
        <w:spacing w:line="360" w:lineRule="auto" w:before="0" w:after="120"/>
        <w:jc w:val="both"/>
      </w:pPr>
      <w:r>
        <w:rPr>
          <w:rFonts w:ascii="Times New Roman" w:hAnsi="Times New Roman" w:eastAsia="Times New Roman"/>
          <w:b w:val="0"/>
          <w:i w:val="0"/>
          <w:sz w:val="24"/>
        </w:rPr>
        <w:t>Il est recommandé de créer un réseau international des talents camerounais de l’IA, réunissant les professionnels de la data, du cloud, du machine learning, de la cybersécurité, de la recherche et de l’innovation travaillant au Cameroun et à l’étranger.</w:t>
      </w:r>
    </w:p>
    <w:p>
      <w:pPr>
        <w:spacing w:line="360" w:lineRule="auto" w:before="0" w:after="120"/>
        <w:jc w:val="both"/>
      </w:pPr>
      <w:r>
        <w:rPr>
          <w:rFonts w:ascii="Times New Roman" w:hAnsi="Times New Roman" w:eastAsia="Times New Roman"/>
          <w:b w:val="0"/>
          <w:i w:val="0"/>
          <w:sz w:val="24"/>
        </w:rPr>
        <w:t>Ce réseau pourrait soutenir des programmes de mentorat, des masterclasses, des missions d’expertise, des stages, des opportunités d’emploi, des collaborations de recherche et des projets de co-développement.</w:t>
      </w:r>
    </w:p>
    <w:p>
      <w:pPr>
        <w:spacing w:before="200" w:after="80" w:line="360" w:lineRule="auto"/>
        <w:jc w:val="both"/>
      </w:pPr>
      <w:r>
        <w:rPr>
          <w:rFonts w:ascii="Times New Roman" w:hAnsi="Times New Roman" w:eastAsia="Times New Roman"/>
          <w:b/>
          <w:i w:val="0"/>
          <w:color w:val="1F2F6D"/>
          <w:sz w:val="24"/>
        </w:rPr>
        <w:t>13.10 Innovation, startups, hackathon et financement</w:t>
      </w:r>
    </w:p>
    <w:p>
      <w:pPr>
        <w:spacing w:line="360" w:lineRule="auto" w:before="0" w:after="120"/>
        <w:jc w:val="both"/>
      </w:pPr>
      <w:r>
        <w:rPr>
          <w:rFonts w:ascii="Times New Roman" w:hAnsi="Times New Roman" w:eastAsia="Times New Roman"/>
          <w:b w:val="0"/>
          <w:i w:val="0"/>
          <w:sz w:val="24"/>
        </w:rPr>
        <w:t>Les Awards, le hackathon et le salon d’exposition ont montré que le Cameroun dispose d’un potentiel entrepreneurial réel dans le domaine de l’IA. Toutefois, ce potentiel doit être mieux structuré, financé et accompagné pour produire des entreprises durables et des solutions scalables.</w:t>
      </w:r>
    </w:p>
    <w:p>
      <w:pPr>
        <w:spacing w:line="360" w:lineRule="auto" w:before="0" w:after="120"/>
        <w:jc w:val="both"/>
      </w:pPr>
      <w:r>
        <w:rPr>
          <w:rFonts w:ascii="Times New Roman" w:hAnsi="Times New Roman" w:eastAsia="Times New Roman"/>
          <w:b w:val="0"/>
          <w:i w:val="0"/>
          <w:sz w:val="24"/>
        </w:rPr>
        <w:t>Il est recommandé de créer un fonds ou mécanisme d’amorçage dédié aux startups IA, associant sponsors privés, partenaires publics, investisseurs, institutions financières et partenaires internationaux.</w:t>
      </w:r>
    </w:p>
    <w:p>
      <w:pPr>
        <w:spacing w:line="360" w:lineRule="auto" w:before="0" w:after="120"/>
        <w:jc w:val="both"/>
      </w:pPr>
      <w:r>
        <w:rPr>
          <w:rFonts w:ascii="Times New Roman" w:hAnsi="Times New Roman" w:eastAsia="Times New Roman"/>
          <w:b w:val="0"/>
          <w:i w:val="0"/>
          <w:sz w:val="24"/>
        </w:rPr>
        <w:t>Il est également recommandé de faire des Cameroon Artificial Intelligence Awards un instrument d’identification des talents, mais aussi un levier d’accélération ouvrant vers l’incubation, le financement, la visibilité média, le contrat pilote ou l’accompagnement technique.</w:t>
      </w:r>
    </w:p>
    <w:p>
      <w:pPr>
        <w:spacing w:before="200" w:after="80" w:line="360" w:lineRule="auto"/>
        <w:jc w:val="both"/>
      </w:pPr>
      <w:r>
        <w:rPr>
          <w:rFonts w:ascii="Times New Roman" w:hAnsi="Times New Roman" w:eastAsia="Times New Roman"/>
          <w:b/>
          <w:i w:val="0"/>
          <w:color w:val="1F2F6D"/>
          <w:sz w:val="24"/>
        </w:rPr>
        <w:t>13.11 Communication, médias et culture publique de l’IA</w:t>
      </w:r>
    </w:p>
    <w:p>
      <w:pPr>
        <w:spacing w:line="360" w:lineRule="auto" w:before="0" w:after="120"/>
        <w:jc w:val="both"/>
      </w:pPr>
      <w:r>
        <w:rPr>
          <w:rFonts w:ascii="Times New Roman" w:hAnsi="Times New Roman" w:eastAsia="Times New Roman"/>
          <w:b w:val="0"/>
          <w:i w:val="0"/>
          <w:sz w:val="24"/>
        </w:rPr>
        <w:t>La mobilisation autour des JCIA 2025 a montré que l’intelligence artificielle suscite un intérêt croissant. Toutefois, pour éviter les peurs excessives, les fantasmes, la désinformation et les usages superficiels, il est nécessaire de construire une culture publique de l’IA.</w:t>
      </w:r>
    </w:p>
    <w:p>
      <w:pPr>
        <w:spacing w:line="360" w:lineRule="auto" w:before="0" w:after="120"/>
        <w:jc w:val="both"/>
      </w:pPr>
      <w:r>
        <w:rPr>
          <w:rFonts w:ascii="Times New Roman" w:hAnsi="Times New Roman" w:eastAsia="Times New Roman"/>
          <w:b w:val="0"/>
          <w:i w:val="0"/>
          <w:sz w:val="24"/>
        </w:rPr>
        <w:t>Il est recommandé de développer une stratégie nationale de sensibilisation à l’IA, en partenariat avec les médias, les universités, les écoles, les associations professionnelles, les influenceurs technologiques et les institutions publiques.</w:t>
      </w:r>
    </w:p>
    <w:p>
      <w:pPr>
        <w:spacing w:line="360" w:lineRule="auto" w:before="0" w:after="120"/>
        <w:jc w:val="both"/>
      </w:pPr>
      <w:r>
        <w:rPr>
          <w:rFonts w:ascii="Times New Roman" w:hAnsi="Times New Roman" w:eastAsia="Times New Roman"/>
          <w:b w:val="0"/>
          <w:i w:val="0"/>
          <w:sz w:val="24"/>
        </w:rPr>
        <w:t>Il est également recommandé de renforcer la couverture médiatique spécialisée des sujets IA au Cameroun et de former les journalistes aux fondamentaux de l’IA, aux enjeux d’éthique et à l’analyse critique des annonces d’innovation.</w:t>
      </w:r>
    </w:p>
    <w:p>
      <w:pPr>
        <w:spacing w:before="200" w:after="80" w:line="360" w:lineRule="auto"/>
        <w:jc w:val="both"/>
      </w:pPr>
      <w:r>
        <w:rPr>
          <w:rFonts w:ascii="Times New Roman" w:hAnsi="Times New Roman" w:eastAsia="Times New Roman"/>
          <w:b/>
          <w:i w:val="0"/>
          <w:color w:val="1F2F6D"/>
          <w:sz w:val="24"/>
        </w:rPr>
        <w:t>13.12 Pérennisation des JCIA comme plateforme nationale et internationale</w:t>
      </w:r>
    </w:p>
    <w:p>
      <w:pPr>
        <w:spacing w:line="360" w:lineRule="auto" w:before="0" w:after="120"/>
        <w:jc w:val="both"/>
      </w:pPr>
      <w:r>
        <w:rPr>
          <w:rFonts w:ascii="Times New Roman" w:hAnsi="Times New Roman" w:eastAsia="Times New Roman"/>
          <w:b w:val="0"/>
          <w:i w:val="0"/>
          <w:sz w:val="24"/>
        </w:rPr>
        <w:t>Les JCIA 2025 ont confirmé qu’il existe au Cameroun une attente forte autour d’un espace sérieux, structuré et régulier consacré à l’intelligence artificielle.</w:t>
      </w:r>
    </w:p>
    <w:p>
      <w:pPr>
        <w:spacing w:line="360" w:lineRule="auto" w:before="0" w:after="120"/>
        <w:jc w:val="both"/>
      </w:pPr>
      <w:r>
        <w:rPr>
          <w:rFonts w:ascii="Times New Roman" w:hAnsi="Times New Roman" w:eastAsia="Times New Roman"/>
          <w:b w:val="0"/>
          <w:i w:val="0"/>
          <w:sz w:val="24"/>
        </w:rPr>
        <w:t>Il est recommandé de créer un secrétariat permanent des JCIA, chargé du suivi des recommandations, de la coordination des partenaires, de la préparation des éditions futures, de la documentation des impacts et de l’animation de la communauté tout au long de l’année.</w:t>
      </w:r>
    </w:p>
    <w:p>
      <w:pPr>
        <w:spacing w:line="360" w:lineRule="auto" w:before="0" w:after="120"/>
        <w:jc w:val="both"/>
      </w:pPr>
      <w:r>
        <w:rPr>
          <w:rFonts w:ascii="Times New Roman" w:hAnsi="Times New Roman" w:eastAsia="Times New Roman"/>
          <w:b w:val="0"/>
          <w:i w:val="0"/>
          <w:sz w:val="24"/>
        </w:rPr>
        <w:t>Les JCIA doivent devenir plus qu’un rendez-vous. Elles doivent devenir l’infrastructure relationnelle, intellectuelle et stratégique de l’écosystème camerounais de l’intelligence artificielle.</w:t>
      </w:r>
    </w:p>
    <w:p>
      <w:pPr>
        <w:spacing w:before="240" w:after="120" w:line="360" w:lineRule="auto"/>
        <w:jc w:val="left"/>
      </w:pPr>
      <w:r>
        <w:rPr>
          <w:rFonts w:ascii="Times New Roman" w:hAnsi="Times New Roman" w:eastAsia="Times New Roman"/>
          <w:b/>
          <w:i w:val="0"/>
          <w:color w:val="1F2F6D"/>
          <w:sz w:val="24"/>
        </w:rPr>
        <w:t>14. FEUILLE DE ROUTE POST-JCIA</w:t>
      </w:r>
    </w:p>
    <w:tbl>
      <w:tblPr>
        <w:tblStyle w:val="TableGrid"/>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01"/>
        <w:gridCol w:w="3969"/>
        <w:gridCol w:w="3402"/>
      </w:tblGrid>
      <w:tr>
        <w:trPr>
          <w:tblHeader w:val="true"/>
        </w:trPr>
        <w:tc>
          <w:tcPr>
            <w:tcW w:type="dxa" w:w="1701"/>
            <w:vAlign w:val="center"/>
            <w:shd w:fill="1F2F6D"/>
          </w:tcPr>
          <w:p>
            <w:pPr>
              <w:spacing w:line="360" w:lineRule="auto"/>
              <w:jc w:val="left"/>
            </w:pPr>
            <w:r/>
            <w:r>
              <w:rPr>
                <w:rFonts w:ascii="Times New Roman" w:hAnsi="Times New Roman" w:eastAsia="Times New Roman"/>
                <w:b/>
                <w:color w:val="FFFFFF"/>
                <w:sz w:val="24"/>
              </w:rPr>
              <w:t>Horizon</w:t>
            </w:r>
          </w:p>
        </w:tc>
        <w:tc>
          <w:tcPr>
            <w:tcW w:type="dxa" w:w="3969"/>
            <w:vAlign w:val="center"/>
            <w:shd w:fill="1F2F6D"/>
          </w:tcPr>
          <w:p>
            <w:pPr>
              <w:spacing w:line="360" w:lineRule="auto"/>
              <w:jc w:val="left"/>
            </w:pPr>
            <w:r/>
            <w:r>
              <w:rPr>
                <w:rFonts w:ascii="Times New Roman" w:hAnsi="Times New Roman" w:eastAsia="Times New Roman"/>
                <w:b/>
                <w:color w:val="FFFFFF"/>
                <w:sz w:val="24"/>
              </w:rPr>
              <w:t>Action prioritaire</w:t>
            </w:r>
          </w:p>
        </w:tc>
        <w:tc>
          <w:tcPr>
            <w:tcW w:type="dxa" w:w="3402"/>
            <w:vAlign w:val="center"/>
            <w:shd w:fill="1F2F6D"/>
          </w:tcPr>
          <w:p>
            <w:pPr>
              <w:spacing w:line="360" w:lineRule="auto"/>
              <w:jc w:val="left"/>
            </w:pPr>
            <w:r/>
            <w:r>
              <w:rPr>
                <w:rFonts w:ascii="Times New Roman" w:hAnsi="Times New Roman" w:eastAsia="Times New Roman"/>
                <w:b/>
                <w:color w:val="FFFFFF"/>
                <w:sz w:val="24"/>
              </w:rPr>
              <w:t>Résultat attendu</w:t>
            </w:r>
          </w:p>
        </w:tc>
      </w:tr>
      <w:tr>
        <w:tc>
          <w:tcPr>
            <w:tcW w:type="dxa" w:w="1701"/>
            <w:vAlign w:val="center"/>
          </w:tcPr>
          <w:p>
            <w:pPr>
              <w:spacing w:line="360" w:lineRule="auto"/>
              <w:jc w:val="left"/>
            </w:pPr>
            <w:r/>
            <w:r>
              <w:rPr>
                <w:rFonts w:ascii="Times New Roman" w:hAnsi="Times New Roman" w:eastAsia="Times New Roman"/>
                <w:b w:val="0"/>
                <w:sz w:val="24"/>
              </w:rPr>
              <w:t>30 jours</w:t>
            </w:r>
          </w:p>
        </w:tc>
        <w:tc>
          <w:tcPr>
            <w:tcW w:type="dxa" w:w="3969"/>
            <w:vAlign w:val="center"/>
          </w:tcPr>
          <w:p>
            <w:pPr>
              <w:spacing w:line="360" w:lineRule="auto"/>
              <w:jc w:val="left"/>
            </w:pPr>
            <w:r/>
            <w:r>
              <w:rPr>
                <w:rFonts w:ascii="Times New Roman" w:hAnsi="Times New Roman" w:eastAsia="Times New Roman"/>
                <w:b w:val="0"/>
                <w:sz w:val="24"/>
              </w:rPr>
              <w:t>Publier le rapport officiel et la galerie média</w:t>
            </w:r>
          </w:p>
        </w:tc>
        <w:tc>
          <w:tcPr>
            <w:tcW w:type="dxa" w:w="3402"/>
            <w:vAlign w:val="center"/>
          </w:tcPr>
          <w:p>
            <w:pPr>
              <w:spacing w:line="360" w:lineRule="auto"/>
              <w:jc w:val="left"/>
            </w:pPr>
            <w:r/>
            <w:r>
              <w:rPr>
                <w:rFonts w:ascii="Times New Roman" w:hAnsi="Times New Roman" w:eastAsia="Times New Roman"/>
                <w:b w:val="0"/>
                <w:sz w:val="24"/>
              </w:rPr>
              <w:t>Capitaliser sur l’événement et renforcer la visibilité</w:t>
            </w:r>
          </w:p>
        </w:tc>
      </w:tr>
      <w:tr>
        <w:tc>
          <w:tcPr>
            <w:tcW w:type="dxa" w:w="1701"/>
            <w:vAlign w:val="center"/>
          </w:tcPr>
          <w:p>
            <w:pPr>
              <w:spacing w:line="360" w:lineRule="auto"/>
              <w:jc w:val="left"/>
            </w:pPr>
            <w:r/>
            <w:r>
              <w:rPr>
                <w:rFonts w:ascii="Times New Roman" w:hAnsi="Times New Roman" w:eastAsia="Times New Roman"/>
                <w:b w:val="0"/>
                <w:sz w:val="24"/>
              </w:rPr>
              <w:t>60 jours</w:t>
            </w:r>
          </w:p>
        </w:tc>
        <w:tc>
          <w:tcPr>
            <w:tcW w:type="dxa" w:w="3969"/>
            <w:vAlign w:val="center"/>
          </w:tcPr>
          <w:p>
            <w:pPr>
              <w:spacing w:line="360" w:lineRule="auto"/>
              <w:jc w:val="left"/>
            </w:pPr>
            <w:r/>
            <w:r>
              <w:rPr>
                <w:rFonts w:ascii="Times New Roman" w:hAnsi="Times New Roman" w:eastAsia="Times New Roman"/>
                <w:b w:val="0"/>
                <w:sz w:val="24"/>
              </w:rPr>
              <w:t>Organiser une réunion de restitution avec les partenaires</w:t>
            </w:r>
          </w:p>
        </w:tc>
        <w:tc>
          <w:tcPr>
            <w:tcW w:type="dxa" w:w="3402"/>
            <w:vAlign w:val="center"/>
          </w:tcPr>
          <w:p>
            <w:pPr>
              <w:spacing w:line="360" w:lineRule="auto"/>
              <w:jc w:val="left"/>
            </w:pPr>
            <w:r/>
            <w:r>
              <w:rPr>
                <w:rFonts w:ascii="Times New Roman" w:hAnsi="Times New Roman" w:eastAsia="Times New Roman"/>
                <w:b w:val="0"/>
                <w:sz w:val="24"/>
              </w:rPr>
              <w:t>Transformer les recommandations en engagements</w:t>
            </w:r>
          </w:p>
        </w:tc>
      </w:tr>
      <w:tr>
        <w:tc>
          <w:tcPr>
            <w:tcW w:type="dxa" w:w="1701"/>
            <w:vAlign w:val="center"/>
          </w:tcPr>
          <w:p>
            <w:pPr>
              <w:spacing w:line="360" w:lineRule="auto"/>
              <w:jc w:val="left"/>
            </w:pPr>
            <w:r/>
            <w:r>
              <w:rPr>
                <w:rFonts w:ascii="Times New Roman" w:hAnsi="Times New Roman" w:eastAsia="Times New Roman"/>
                <w:b w:val="0"/>
                <w:sz w:val="24"/>
              </w:rPr>
              <w:t>90 jours</w:t>
            </w:r>
          </w:p>
        </w:tc>
        <w:tc>
          <w:tcPr>
            <w:tcW w:type="dxa" w:w="3969"/>
            <w:vAlign w:val="center"/>
          </w:tcPr>
          <w:p>
            <w:pPr>
              <w:spacing w:line="360" w:lineRule="auto"/>
              <w:jc w:val="left"/>
            </w:pPr>
            <w:r/>
            <w:r>
              <w:rPr>
                <w:rFonts w:ascii="Times New Roman" w:hAnsi="Times New Roman" w:eastAsia="Times New Roman"/>
                <w:b w:val="0"/>
                <w:sz w:val="24"/>
              </w:rPr>
              <w:t>Créer une base de données des startups et projets IA</w:t>
            </w:r>
          </w:p>
        </w:tc>
        <w:tc>
          <w:tcPr>
            <w:tcW w:type="dxa" w:w="3402"/>
            <w:vAlign w:val="center"/>
          </w:tcPr>
          <w:p>
            <w:pPr>
              <w:spacing w:line="360" w:lineRule="auto"/>
              <w:jc w:val="left"/>
            </w:pPr>
            <w:r/>
            <w:r>
              <w:rPr>
                <w:rFonts w:ascii="Times New Roman" w:hAnsi="Times New Roman" w:eastAsia="Times New Roman"/>
                <w:b w:val="0"/>
                <w:sz w:val="24"/>
              </w:rPr>
              <w:t>Structurer l’écosystème et faciliter les mises en relation</w:t>
            </w:r>
          </w:p>
        </w:tc>
      </w:tr>
      <w:tr>
        <w:tc>
          <w:tcPr>
            <w:tcW w:type="dxa" w:w="1701"/>
            <w:vAlign w:val="center"/>
          </w:tcPr>
          <w:p>
            <w:pPr>
              <w:spacing w:line="360" w:lineRule="auto"/>
              <w:jc w:val="left"/>
            </w:pPr>
            <w:r/>
            <w:r>
              <w:rPr>
                <w:rFonts w:ascii="Times New Roman" w:hAnsi="Times New Roman" w:eastAsia="Times New Roman"/>
                <w:b w:val="0"/>
                <w:sz w:val="24"/>
              </w:rPr>
              <w:t>3 à 6 mois</w:t>
            </w:r>
          </w:p>
        </w:tc>
        <w:tc>
          <w:tcPr>
            <w:tcW w:type="dxa" w:w="3969"/>
            <w:vAlign w:val="center"/>
          </w:tcPr>
          <w:p>
            <w:pPr>
              <w:spacing w:line="360" w:lineRule="auto"/>
              <w:jc w:val="left"/>
            </w:pPr>
            <w:r/>
            <w:r>
              <w:rPr>
                <w:rFonts w:ascii="Times New Roman" w:hAnsi="Times New Roman" w:eastAsia="Times New Roman"/>
                <w:b w:val="0"/>
                <w:sz w:val="24"/>
              </w:rPr>
              <w:t>Lancer des ateliers sectoriels IA</w:t>
            </w:r>
          </w:p>
        </w:tc>
        <w:tc>
          <w:tcPr>
            <w:tcW w:type="dxa" w:w="3402"/>
            <w:vAlign w:val="center"/>
          </w:tcPr>
          <w:p>
            <w:pPr>
              <w:spacing w:line="360" w:lineRule="auto"/>
              <w:jc w:val="left"/>
            </w:pPr>
            <w:r/>
            <w:r>
              <w:rPr>
                <w:rFonts w:ascii="Times New Roman" w:hAnsi="Times New Roman" w:eastAsia="Times New Roman"/>
                <w:b w:val="0"/>
                <w:sz w:val="24"/>
              </w:rPr>
              <w:t>Identifier des cas d’usage prioritaires</w:t>
            </w:r>
          </w:p>
        </w:tc>
      </w:tr>
      <w:tr>
        <w:tc>
          <w:tcPr>
            <w:tcW w:type="dxa" w:w="1701"/>
            <w:vAlign w:val="center"/>
          </w:tcPr>
          <w:p>
            <w:pPr>
              <w:spacing w:line="360" w:lineRule="auto"/>
              <w:jc w:val="left"/>
            </w:pPr>
            <w:r/>
            <w:r>
              <w:rPr>
                <w:rFonts w:ascii="Times New Roman" w:hAnsi="Times New Roman" w:eastAsia="Times New Roman"/>
                <w:b w:val="0"/>
                <w:sz w:val="24"/>
              </w:rPr>
              <w:t>6 mois</w:t>
            </w:r>
          </w:p>
        </w:tc>
        <w:tc>
          <w:tcPr>
            <w:tcW w:type="dxa" w:w="3969"/>
            <w:vAlign w:val="center"/>
          </w:tcPr>
          <w:p>
            <w:pPr>
              <w:spacing w:line="360" w:lineRule="auto"/>
              <w:jc w:val="left"/>
            </w:pPr>
            <w:r/>
            <w:r>
              <w:rPr>
                <w:rFonts w:ascii="Times New Roman" w:hAnsi="Times New Roman" w:eastAsia="Times New Roman"/>
                <w:b w:val="0"/>
                <w:sz w:val="24"/>
              </w:rPr>
              <w:t>Suivre les lauréats CAIA et exposants</w:t>
            </w:r>
          </w:p>
        </w:tc>
        <w:tc>
          <w:tcPr>
            <w:tcW w:type="dxa" w:w="3402"/>
            <w:vAlign w:val="center"/>
          </w:tcPr>
          <w:p>
            <w:pPr>
              <w:spacing w:line="360" w:lineRule="auto"/>
              <w:jc w:val="left"/>
            </w:pPr>
            <w:r/>
            <w:r>
              <w:rPr>
                <w:rFonts w:ascii="Times New Roman" w:hAnsi="Times New Roman" w:eastAsia="Times New Roman"/>
                <w:b w:val="0"/>
                <w:sz w:val="24"/>
              </w:rPr>
              <w:t>Mesurer l’impact post-événement</w:t>
            </w:r>
          </w:p>
        </w:tc>
      </w:tr>
      <w:tr>
        <w:tc>
          <w:tcPr>
            <w:tcW w:type="dxa" w:w="1701"/>
            <w:vAlign w:val="center"/>
          </w:tcPr>
          <w:p>
            <w:pPr>
              <w:spacing w:line="360" w:lineRule="auto"/>
              <w:jc w:val="left"/>
            </w:pPr>
            <w:r/>
            <w:r>
              <w:rPr>
                <w:rFonts w:ascii="Times New Roman" w:hAnsi="Times New Roman" w:eastAsia="Times New Roman"/>
                <w:b w:val="0"/>
                <w:sz w:val="24"/>
              </w:rPr>
              <w:t>12 mois</w:t>
            </w:r>
          </w:p>
        </w:tc>
        <w:tc>
          <w:tcPr>
            <w:tcW w:type="dxa" w:w="3969"/>
            <w:vAlign w:val="center"/>
          </w:tcPr>
          <w:p>
            <w:pPr>
              <w:spacing w:line="360" w:lineRule="auto"/>
              <w:jc w:val="left"/>
            </w:pPr>
            <w:r/>
            <w:r>
              <w:rPr>
                <w:rFonts w:ascii="Times New Roman" w:hAnsi="Times New Roman" w:eastAsia="Times New Roman"/>
                <w:b w:val="0"/>
                <w:sz w:val="24"/>
              </w:rPr>
              <w:t>Publier un baromètre camerounais de l’IA</w:t>
            </w:r>
          </w:p>
        </w:tc>
        <w:tc>
          <w:tcPr>
            <w:tcW w:type="dxa" w:w="3402"/>
            <w:vAlign w:val="center"/>
          </w:tcPr>
          <w:p>
            <w:pPr>
              <w:spacing w:line="360" w:lineRule="auto"/>
              <w:jc w:val="left"/>
            </w:pPr>
            <w:r/>
            <w:r>
              <w:rPr>
                <w:rFonts w:ascii="Times New Roman" w:hAnsi="Times New Roman" w:eastAsia="Times New Roman"/>
                <w:b w:val="0"/>
                <w:sz w:val="24"/>
              </w:rPr>
              <w:t>Installer les JCIA comme référence annuelle</w:t>
            </w:r>
          </w:p>
        </w:tc>
      </w:tr>
    </w:tbl>
    <w:p>
      <w:pPr>
        <w:spacing w:before="240" w:after="120" w:line="360" w:lineRule="auto"/>
        <w:jc w:val="left"/>
      </w:pPr>
      <w:r>
        <w:rPr>
          <w:rFonts w:ascii="Times New Roman" w:hAnsi="Times New Roman" w:eastAsia="Times New Roman"/>
          <w:b/>
          <w:i w:val="0"/>
          <w:color w:val="1F2F6D"/>
          <w:sz w:val="24"/>
        </w:rPr>
        <w:t>15. PERSPECTIVES</w:t>
      </w:r>
    </w:p>
    <w:p>
      <w:pPr>
        <w:spacing w:line="360" w:lineRule="auto" w:before="0" w:after="120"/>
        <w:jc w:val="both"/>
      </w:pPr>
      <w:r>
        <w:rPr>
          <w:rFonts w:ascii="Times New Roman" w:hAnsi="Times New Roman" w:eastAsia="Times New Roman"/>
          <w:b w:val="0"/>
          <w:i w:val="0"/>
          <w:sz w:val="24"/>
        </w:rPr>
        <w:t>La deuxième édition des JCIA a confirmé la pertinence d’un grand rendez-vous national dédié à l’intelligence artificielle. Elle a également montré que l’écosystème camerounais dispose d’un potentiel réel : talents, projets, initiatives entrepreneuriales, institutions engagées, partenaires internationaux et forte demande de formation.</w:t>
      </w:r>
    </w:p>
    <w:p>
      <w:pPr>
        <w:spacing w:line="360" w:lineRule="auto" w:before="0" w:after="120"/>
        <w:jc w:val="both"/>
      </w:pPr>
      <w:r>
        <w:rPr>
          <w:rFonts w:ascii="Times New Roman" w:hAnsi="Times New Roman" w:eastAsia="Times New Roman"/>
          <w:b w:val="0"/>
          <w:i w:val="0"/>
          <w:sz w:val="24"/>
        </w:rPr>
        <w:t>La prochaine étape consiste à passer de la mobilisation à la structuration. Cela suppose de renforcer la gouvernance de l’événement, de documenter les impacts, de professionnaliser les formats, de créer des mécanismes de suivi, de produire des contenus de référence et d’élargir les partenariats.</w:t>
      </w:r>
    </w:p>
    <w:p>
      <w:pPr>
        <w:spacing w:line="360" w:lineRule="auto" w:before="0" w:after="120"/>
        <w:jc w:val="both"/>
      </w:pPr>
      <w:r>
        <w:rPr>
          <w:rFonts w:ascii="Times New Roman" w:hAnsi="Times New Roman" w:eastAsia="Times New Roman"/>
          <w:b w:val="0"/>
          <w:i w:val="0"/>
          <w:sz w:val="24"/>
        </w:rPr>
        <w:t>À moyen terme, les JCIA peuvent devenir l’un des grands rendez-vous africains de l’intelligence artificielle, en particulier en Afrique centrale. Pour y parvenir, elles devront maintenir une exigence élevée dans la qualité scientifique, l’expérience participant, la sélection des exposants, la communication, la mobilisation des sponsors, la production de recommandations et l’ouverture internationale.</w:t>
      </w:r>
    </w:p>
    <w:p>
      <w:pPr>
        <w:spacing w:before="240" w:after="120" w:line="360" w:lineRule="auto"/>
        <w:jc w:val="left"/>
      </w:pPr>
      <w:r>
        <w:rPr>
          <w:rFonts w:ascii="Times New Roman" w:hAnsi="Times New Roman" w:eastAsia="Times New Roman"/>
          <w:b/>
          <w:i w:val="0"/>
          <w:color w:val="1F2F6D"/>
          <w:sz w:val="24"/>
        </w:rPr>
        <w:t>16. REMERCIEMENTS</w:t>
      </w:r>
    </w:p>
    <w:p>
      <w:pPr>
        <w:spacing w:line="360" w:lineRule="auto" w:before="0" w:after="120"/>
        <w:jc w:val="both"/>
      </w:pPr>
      <w:r>
        <w:rPr>
          <w:rFonts w:ascii="Times New Roman" w:hAnsi="Times New Roman" w:eastAsia="Times New Roman"/>
          <w:b w:val="0"/>
          <w:i w:val="0"/>
          <w:sz w:val="24"/>
        </w:rPr>
        <w:t>Intelligence Artificielle Cameroun adresse ses remerciements aux institutions publiques, partenaires techniques, sponsors, organisations internationales, universités, entreprises, startups, médias, intervenants, bénévoles, participants et membres de l’écosystème qui ont contribué à la réussite de la deuxième édition des Journées Camerounaises de l’Intelligence Artificielle.</w:t>
      </w:r>
    </w:p>
    <w:p>
      <w:pPr>
        <w:spacing w:line="360" w:lineRule="auto" w:before="0" w:after="120"/>
        <w:jc w:val="both"/>
      </w:pPr>
      <w:r>
        <w:rPr>
          <w:rFonts w:ascii="Times New Roman" w:hAnsi="Times New Roman" w:eastAsia="Times New Roman"/>
          <w:b w:val="0"/>
          <w:i w:val="0"/>
          <w:sz w:val="24"/>
        </w:rPr>
        <w:t>Ces remerciements s’adressent également aux porteurs de projets, chercheurs, étudiants et jeunes innovateurs qui ont démontré, par leur présence et leurs initiatives, que l’avenir de l’intelligence artificielle au Cameroun repose sur la créativité, la compétence, la responsabilité et la collaboration.</w:t>
      </w:r>
    </w:p>
    <w:p>
      <w:pPr>
        <w:spacing w:before="240" w:after="120" w:line="360" w:lineRule="auto"/>
        <w:jc w:val="left"/>
      </w:pPr>
      <w:r>
        <w:rPr>
          <w:rFonts w:ascii="Times New Roman" w:hAnsi="Times New Roman" w:eastAsia="Times New Roman"/>
          <w:b/>
          <w:i w:val="0"/>
          <w:color w:val="1F2F6D"/>
          <w:sz w:val="24"/>
        </w:rPr>
        <w:t>17. CONCLUSION GÉNÉRALE</w:t>
      </w:r>
    </w:p>
    <w:p>
      <w:pPr>
        <w:spacing w:line="360" w:lineRule="auto" w:before="0" w:after="120"/>
        <w:jc w:val="both"/>
      </w:pPr>
      <w:r>
        <w:rPr>
          <w:rFonts w:ascii="Times New Roman" w:hAnsi="Times New Roman" w:eastAsia="Times New Roman"/>
          <w:b w:val="0"/>
          <w:i w:val="0"/>
          <w:sz w:val="24"/>
        </w:rPr>
        <w:t>Les JCIA 2025 ont marqué une étape importante dans la construction d’un écosystème camerounais de l’intelligence artificielle. En réunissant pendant trois jours des acteurs publics, privés, académiques, entrepreneuriaux et internationaux, l’événement a permis de faire émerger une vision partagée : l’IA peut devenir un moteur puissant de transformation économique, à condition d’être comprise, encadrée, contextualisée et mise au service des besoins réels du pays.</w:t>
      </w:r>
    </w:p>
    <w:p>
      <w:pPr>
        <w:spacing w:line="360" w:lineRule="auto" w:before="0" w:after="120"/>
        <w:jc w:val="both"/>
      </w:pPr>
      <w:r>
        <w:rPr>
          <w:rFonts w:ascii="Times New Roman" w:hAnsi="Times New Roman" w:eastAsia="Times New Roman"/>
          <w:b w:val="0"/>
          <w:i w:val="0"/>
          <w:sz w:val="24"/>
        </w:rPr>
        <w:t>La deuxième édition a montré que le Cameroun dispose d’une base prometteuse. Mais elle a aussi rappelé l’urgence d’agir : former massivement, produire des données locales, soutenir les startups, financer la recherche, protéger les citoyens, renforcer les infrastructures et construire une gouvernance responsable de l’intelligence artificielle.</w:t>
      </w:r>
    </w:p>
    <w:p>
      <w:pPr>
        <w:spacing w:line="360" w:lineRule="auto" w:before="0" w:after="120"/>
        <w:jc w:val="both"/>
      </w:pPr>
      <w:r>
        <w:rPr>
          <w:rFonts w:ascii="Times New Roman" w:hAnsi="Times New Roman" w:eastAsia="Times New Roman"/>
          <w:b w:val="0"/>
          <w:i w:val="0"/>
          <w:sz w:val="24"/>
        </w:rPr>
        <w:t>À travers les JCIA, Intelligence Artificielle Cameroun contribue à ouvrir un espace où les idées deviennent des projets, où les projets rencontrent des partenaires, où les talents gagnent en visibilité et où les institutions peuvent construire une vision commune.</w:t>
      </w:r>
    </w:p>
    <w:p>
      <w:pPr>
        <w:spacing w:line="360" w:lineRule="auto" w:before="0" w:after="120"/>
        <w:jc w:val="both"/>
      </w:pPr>
      <w:r>
        <w:rPr>
          <w:rFonts w:ascii="Times New Roman" w:hAnsi="Times New Roman" w:eastAsia="Times New Roman"/>
          <w:b w:val="0"/>
          <w:i w:val="0"/>
          <w:sz w:val="24"/>
        </w:rPr>
        <w:t>L’enjeu n’est plus seulement de parler d’intelligence artificielle. L’enjeu est désormais de bâtir, avec méthode et responsabilité, les conditions d’une intelligence artificielle utile au Cameroun, ouverte sur l’Afrique et connectée au monde.</w:t>
      </w:r>
    </w:p>
    <w:p>
      <w:pPr>
        <w:spacing w:before="240" w:after="120" w:line="360" w:lineRule="auto"/>
        <w:jc w:val="left"/>
      </w:pPr>
      <w:r>
        <w:rPr>
          <w:rFonts w:ascii="Times New Roman" w:hAnsi="Times New Roman" w:eastAsia="Times New Roman"/>
          <w:b/>
          <w:i w:val="0"/>
          <w:color w:val="1F2F6D"/>
          <w:sz w:val="24"/>
        </w:rPr>
        <w:t>ANNEXES</w:t>
      </w:r>
    </w:p>
    <w:p>
      <w:pPr>
        <w:pStyle w:val="ListBullet"/>
        <w:spacing w:line="360" w:lineRule="auto" w:after="60"/>
        <w:jc w:val="both"/>
      </w:pPr>
      <w:r>
        <w:rPr>
          <w:rFonts w:ascii="Times New Roman" w:hAnsi="Times New Roman" w:eastAsia="Times New Roman"/>
          <w:sz w:val="24"/>
        </w:rPr>
        <w:t>Programme définitif des trois journées.</w:t>
      </w:r>
    </w:p>
    <w:p>
      <w:pPr>
        <w:pStyle w:val="ListBullet"/>
        <w:spacing w:line="360" w:lineRule="auto" w:after="60"/>
        <w:jc w:val="both"/>
      </w:pPr>
      <w:r>
        <w:rPr>
          <w:rFonts w:ascii="Times New Roman" w:hAnsi="Times New Roman" w:eastAsia="Times New Roman"/>
          <w:sz w:val="24"/>
        </w:rPr>
        <w:t>Liste officielle des intervenants, modérateurs et maîtres de cérémonie.</w:t>
      </w:r>
    </w:p>
    <w:p>
      <w:pPr>
        <w:pStyle w:val="ListBullet"/>
        <w:spacing w:line="360" w:lineRule="auto" w:after="60"/>
        <w:jc w:val="both"/>
      </w:pPr>
      <w:r>
        <w:rPr>
          <w:rFonts w:ascii="Times New Roman" w:hAnsi="Times New Roman" w:eastAsia="Times New Roman"/>
          <w:sz w:val="24"/>
        </w:rPr>
        <w:t>Liste officielle des sponsors et partenaires.</w:t>
      </w:r>
    </w:p>
    <w:p>
      <w:pPr>
        <w:pStyle w:val="ListBullet"/>
        <w:spacing w:line="360" w:lineRule="auto" w:after="60"/>
        <w:jc w:val="both"/>
      </w:pPr>
      <w:r>
        <w:rPr>
          <w:rFonts w:ascii="Times New Roman" w:hAnsi="Times New Roman" w:eastAsia="Times New Roman"/>
          <w:sz w:val="24"/>
        </w:rPr>
        <w:t>Liste des exposants et projets présentés.</w:t>
      </w:r>
    </w:p>
    <w:p>
      <w:pPr>
        <w:pStyle w:val="ListBullet"/>
        <w:spacing w:line="360" w:lineRule="auto" w:after="60"/>
        <w:jc w:val="both"/>
      </w:pPr>
      <w:r>
        <w:rPr>
          <w:rFonts w:ascii="Times New Roman" w:hAnsi="Times New Roman" w:eastAsia="Times New Roman"/>
          <w:sz w:val="24"/>
        </w:rPr>
        <w:t>Résultats des Cameroon Artificial Intelligence Awards 2025.</w:t>
      </w:r>
    </w:p>
    <w:p>
      <w:pPr>
        <w:pStyle w:val="ListBullet"/>
        <w:spacing w:line="360" w:lineRule="auto" w:after="60"/>
        <w:jc w:val="both"/>
      </w:pPr>
      <w:r>
        <w:rPr>
          <w:rFonts w:ascii="Times New Roman" w:hAnsi="Times New Roman" w:eastAsia="Times New Roman"/>
          <w:sz w:val="24"/>
        </w:rPr>
        <w:t>Statistiques consolidées de participation : 3 000 participants, 200 en ligne, 10 pays, plus de 5 000 votants.</w:t>
      </w:r>
    </w:p>
    <w:p>
      <w:pPr>
        <w:pStyle w:val="ListBullet"/>
        <w:spacing w:line="360" w:lineRule="auto" w:after="60"/>
        <w:jc w:val="both"/>
      </w:pPr>
      <w:r>
        <w:rPr>
          <w:rFonts w:ascii="Times New Roman" w:hAnsi="Times New Roman" w:eastAsia="Times New Roman"/>
          <w:sz w:val="24"/>
        </w:rPr>
        <w:t>Retombées presse et digitales, avec mention des médias confirmés dont CRTV et Canal 2.</w:t>
      </w:r>
    </w:p>
    <w:p>
      <w:pPr>
        <w:pStyle w:val="ListBullet"/>
        <w:spacing w:line="360" w:lineRule="auto" w:after="60"/>
        <w:jc w:val="both"/>
      </w:pPr>
      <w:r>
        <w:rPr>
          <w:rFonts w:ascii="Times New Roman" w:hAnsi="Times New Roman" w:eastAsia="Times New Roman"/>
          <w:sz w:val="24"/>
        </w:rPr>
        <w:t>Galerie photos officielle en haute définition.</w:t>
      </w:r>
    </w:p>
    <w:p>
      <w:pPr>
        <w:pStyle w:val="ListBullet"/>
        <w:spacing w:line="360" w:lineRule="auto" w:after="60"/>
        <w:jc w:val="both"/>
      </w:pPr>
      <w:r>
        <w:rPr>
          <w:rFonts w:ascii="Times New Roman" w:hAnsi="Times New Roman" w:eastAsia="Times New Roman"/>
          <w:sz w:val="24"/>
        </w:rPr>
        <w:t>Citations institutionnelles validées.</w:t>
      </w:r>
    </w:p>
    <w:p>
      <w:pPr>
        <w:pStyle w:val="ListBullet"/>
        <w:spacing w:line="360" w:lineRule="auto" w:after="60"/>
        <w:jc w:val="both"/>
      </w:pPr>
      <w:r>
        <w:rPr>
          <w:rFonts w:ascii="Times New Roman" w:hAnsi="Times New Roman" w:eastAsia="Times New Roman"/>
          <w:sz w:val="24"/>
        </w:rPr>
        <w:t>Recommandations consolidées et validées.</w:t>
      </w:r>
    </w:p>
    <w:sectPr w:rsidR="00FC693F" w:rsidRPr="0006063C" w:rsidSect="00034616">
      <w:footerReference w:type="default" r:id="rId9"/>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color w:val="666666"/>
        <w:sz w:val="18"/>
      </w:rPr>
      <w:t>Rapport officiel JCIA 2025 — Journées Camerounaises de l’Intelligence Artificielle</w:t>
    </w:r>
  </w:p>
  <w:p>
    <w:pPr>
      <w:spacing w:line="240" w:lineRule="auto"/>
      <w:jc w:val="center"/>
    </w:pPr>
    <w:r>
      <w:rPr>
        <w:rFonts w:ascii="Times New Roman" w:hAnsi="Times New Roman"/>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