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3A5F"/>
          <w:sz w:val="40"/>
        </w:rPr>
        <w:t>JEDNOLITY RZECZOWY WYKAZ AKT</w:t>
      </w:r>
    </w:p>
    <w:p>
      <w:pPr>
        <w:spacing w:before="0" w:after="80"/>
        <w:jc w:val="center"/>
      </w:pPr>
      <w:r>
        <w:rPr>
          <w:color w:val="555555"/>
          <w:sz w:val="24"/>
        </w:rPr>
        <w:t>Fundacja — klasyfikacja dziesiętna z kategoriami archiwalnymi</w:t>
      </w:r>
    </w:p>
    <w:p>
      <w:pPr>
        <w:spacing w:before="0" w:after="240"/>
        <w:jc w:val="center"/>
      </w:pPr>
      <w:r>
        <w:rPr>
          <w:i/>
          <w:color w:val="555555"/>
          <w:sz w:val="19"/>
        </w:rPr>
        <w:t>Załącznik do uchwały Zarządu Fundacji nr ……… z dnia ……………………</w:t>
      </w:r>
    </w:p>
    <w:p>
      <w:pPr>
        <w:pStyle w:val="Heading2"/>
        <w:spacing w:before="120" w:after="80"/>
      </w:pPr>
      <w:r>
        <w:t>Podstawa i kategorie archiwalne</w:t>
      </w:r>
    </w:p>
    <w:p>
      <w:pPr>
        <w:spacing w:before="0" w:after="120"/>
      </w:pPr>
      <w:r>
        <w:t>Wykaz opracowano w oparciu o ustawę z dnia 14 lipca 1983 r. o narodowym zasobie archiwalnym i archiwach. Dokumentacja fundacji należy do niepaństwowego zasobu archiwalnego; kategoryzację A/B stosuje się tu jako wewnętrzny, czytelny standard porządkowania i określania okresów przechowywania.</w:t>
      </w:r>
    </w:p>
    <w:p>
      <w:pPr>
        <w:pStyle w:val="ListBullet"/>
        <w:spacing w:before="0" w:after="20"/>
      </w:pPr>
      <w:r>
        <w:rPr>
          <w:b/>
        </w:rPr>
        <w:t xml:space="preserve">A — </w:t>
      </w:r>
      <w:r>
        <w:t>materiały archiwalne o trwałej wartości — przechowywane wieczyście.</w:t>
      </w:r>
    </w:p>
    <w:p>
      <w:pPr>
        <w:pStyle w:val="ListBullet"/>
        <w:spacing w:before="0" w:after="20"/>
      </w:pPr>
      <w:r>
        <w:rPr>
          <w:b/>
        </w:rPr>
        <w:t xml:space="preserve">Bn — </w:t>
      </w:r>
      <w:r>
        <w:t>dokumentacja niearchiwalna; n = liczba lat (liczonych od 1 stycznia roku następnego po zakończeniu sprawy).</w:t>
      </w:r>
    </w:p>
    <w:p>
      <w:pPr>
        <w:pStyle w:val="ListBullet"/>
        <w:spacing w:before="0" w:after="20"/>
      </w:pPr>
      <w:r>
        <w:rPr>
          <w:b/>
        </w:rPr>
        <w:t xml:space="preserve">BE n — </w:t>
      </w:r>
      <w:r>
        <w:t>po n latach o zniszczeniu lub uznaniu za materiał archiwalny decyduje ekspertyza.</w:t>
      </w:r>
    </w:p>
    <w:p>
      <w:pPr>
        <w:pStyle w:val="ListBullet"/>
        <w:spacing w:before="0" w:after="20"/>
      </w:pPr>
      <w:r>
        <w:rPr>
          <w:b/>
        </w:rPr>
        <w:t xml:space="preserve">Bc — </w:t>
      </w:r>
      <w:r>
        <w:t>dokumentacja manipulacyjna o krótkotrwałym znaczeniu — brakowana po wykorzystaniu.</w:t>
      </w:r>
    </w:p>
    <w:p>
      <w:pPr>
        <w:spacing w:before="120" w:after="120"/>
      </w:pPr>
      <w:r>
        <w:rPr>
          <w:b/>
          <w:color w:val="1F3A5F"/>
        </w:rPr>
        <w:t xml:space="preserve">Zasady nadrzędne: </w:t>
      </w:r>
      <w:r>
        <w:t>okresy dla projektów dotowanych określa umowa o dofinansowanie (często do końca okresu trwałości), a dla akt osobowych i płac — B10 dla zatrudnionych od 1.01.2019, B50 dla wcześniejszych. W razie wątpliwości wybiera się okres dłuższy.</w:t>
      </w:r>
    </w:p>
    <w:p>
      <w:pPr>
        <w:pStyle w:val="Heading2"/>
        <w:spacing w:before="200" w:after="120"/>
      </w:pPr>
      <w:r>
        <w:t>Wykaz klas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1F3A5F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6576"/>
            <w:shd w:val="clear" w:color="auto" w:fill="1F3A5F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>Hasło klasyfikacyjne</w:t>
            </w:r>
          </w:p>
        </w:tc>
        <w:tc>
          <w:tcPr>
            <w:tcW w:type="dxa" w:w="1587"/>
            <w:shd w:val="clear" w:color="auto" w:fill="1F3A5F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1"/>
              </w:rPr>
              <w:t>Kat. arch.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ZARZĄDZANIE ORGANIZACJĄ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00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Organy fundacji i ich obsługa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000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Akt fundacyjny, oświadczenia fundatora</w:t>
            </w:r>
            <w:r>
              <w:rPr>
                <w:i/>
                <w:color w:val="555555"/>
                <w:sz w:val="17"/>
              </w:rPr>
              <w:t xml:space="preserve">  — Tożsamość organizacji — przechowywane trwale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001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Zarząd — uchwały, protokoły posiedzeń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002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Rada Fundacji / organ nadzoru — uchwały, protokoły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01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Podstawy prawne i organizacja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010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Statut i jego zmiany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011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Rejestracja w KRS, wpisy i zmiany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012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Regulaminy, instrukcje i polityki wewnętrzne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013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Pełnomocnictwa i upoważnienia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02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Planowanie i sprawozdawczość statutowa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020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Strategia, plany wieloletnie i roczne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021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Sprawozdania merytoryczne roczne (ministerstwo/OPP)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03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Kontrole i audyty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030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Kontrole zewnętrzne — protokoły, zalecenia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031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Kontrole i audyty wewnętrzne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04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Ochrona danych osobowych (RODO)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040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Polityki, rejestr czynności przetwarzania, IOD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041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Umowy powierzenia, rejestr naruszeń, zgody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05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Obsługa prawna, skargi i wnioski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050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Skargi, wnioski, korespondencja sporna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051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Sprawy sądowe, opinie prawne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KADRY I WOLONTARIAT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Akta osobowe pracowników</w:t>
            </w:r>
            <w:r>
              <w:rPr>
                <w:i/>
                <w:color w:val="555555"/>
                <w:sz w:val="17"/>
              </w:rPr>
              <w:t xml:space="preserve">  — B50 dla zatrudnionych przed 1.01.2019 (ustawa o e-aktach)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Umowy cywilnoprawne (zlecenie, o dzieło)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Wolontariat — porozumienia, zakresy czynności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121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Ewidencja świadczeń i zaświadczenia wolontariuszy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Ewidencja czasu pracy, urlopy, absencje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BHP — szkolenia, badania, ocena ryzyka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ind w:left="227"/>
            </w:pPr>
            <w:r>
              <w:rPr>
                <w:b w:val="0"/>
                <w:sz w:val="20"/>
              </w:rPr>
              <w:t>Wypadki przy pracy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0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Świadczenia socjalne, ZFŚS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ADMINISTRACJA, MAJĄTEK I IT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Lokale i nieruchomości — najem, użyczenie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Środki trwałe i wyposażenie — ewidencja majątku</w:t>
            </w:r>
            <w:r>
              <w:rPr>
                <w:i/>
                <w:color w:val="555555"/>
                <w:sz w:val="17"/>
              </w:rPr>
              <w:t xml:space="preserve">  — Okres liczony od likwidacji/zbycia składnika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Zaopatrzenie, zakupy, umowy z dostawcami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Obsługa kancelaryjna — dziennik korespondencji</w:t>
            </w:r>
            <w:r>
              <w:rPr>
                <w:i/>
                <w:color w:val="555555"/>
                <w:sz w:val="17"/>
              </w:rPr>
              <w:t xml:space="preserve">  — Dokumentacja manipulacyjna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Bc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Archiwum/składnica akt — spisy z-o, brakowanie</w:t>
            </w:r>
            <w:r>
              <w:rPr>
                <w:i/>
                <w:color w:val="555555"/>
                <w:sz w:val="17"/>
              </w:rPr>
              <w:t xml:space="preserve">  — Spisy zdawczo-odbiorcze i protokoły brakowania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Informatyka — systemy, kopie, bezpieczeństwo IT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Ubezpieczenia majątkowe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FINANSE I KSIĘGOWOŚĆ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Polityka rachunkowości, plan kont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Księgi rachunkowe (dziennik, KG, pomocnicze)</w:t>
            </w:r>
            <w:r>
              <w:rPr>
                <w:i/>
                <w:color w:val="555555"/>
                <w:sz w:val="17"/>
              </w:rPr>
              <w:t xml:space="preserve">  — Min. 5 lat — art. 74 ustawy o rachunkowości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Dowody księgowe — faktury, rachunki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Wyciągi bankowe, obrót pieniężny, kasa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Rozliczenia podatkowe (CIT, VAT, PIT)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Wynagrodzenia — listy płac, karty wynagrodzeń</w:t>
            </w:r>
            <w:r>
              <w:rPr>
                <w:i/>
                <w:color w:val="555555"/>
                <w:sz w:val="17"/>
              </w:rPr>
              <w:t xml:space="preserve">  — B50 dla okresów sprzed 1.01.2019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36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Rozliczenia ZUS — deklaracje, składki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37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Roczne sprawozdania finansowe (bilans, RZiS)</w:t>
            </w:r>
            <w:r>
              <w:rPr>
                <w:i/>
                <w:color w:val="555555"/>
                <w:sz w:val="17"/>
              </w:rPr>
              <w:t xml:space="preserve">  — Trwale — art. 74 ust. 1 ustawy o rachunkowości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Inwentaryzacja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PROJEKTY (DZIAŁALNOŚĆ PROGRAMOWA I DOTOWANA)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Koncepcje i programy własne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Dokumentacja konkursowa — wnioski o dofinansowanie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Umowy o dofinansowanie i aneksy</w:t>
            </w:r>
            <w:r>
              <w:rPr>
                <w:i/>
                <w:color w:val="555555"/>
                <w:sz w:val="17"/>
              </w:rPr>
              <w:t xml:space="preserve">  — Okres wg umowy/okresu trwałości projektu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Realizacja — uczestnicy, dzienniki, produkty</w:t>
            </w:r>
            <w:r>
              <w:rPr>
                <w:i/>
                <w:color w:val="555555"/>
                <w:sz w:val="17"/>
              </w:rPr>
              <w:t xml:space="preserve">  — Okres wg umowy/okresu trwałości projektu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Rozliczenia i raporty (cząstkowe i końcowe)</w:t>
            </w:r>
            <w:r>
              <w:rPr>
                <w:i/>
                <w:color w:val="555555"/>
                <w:sz w:val="17"/>
              </w:rPr>
              <w:t xml:space="preserve">  — Okres wg umowy/okresu trwałości projektu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Ewaluacja i raporty oddziaływania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46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Współpraca z partnerami projektowymi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DZIAŁALNOŚĆ SZKOLENIOWA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Programy i oferta szkoleń (programy autorskie)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51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Organizacja szkoleń — harmonogramy, rekrutacja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52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Dokumentacja uczestników — zgłoszenia, zgody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53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Rejestr wydanych zaświadczeń/certyfikatów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54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Materiały dydaktyczne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55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Ewaluacja szkoleń, ankiety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B3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FUNDRAISING, DARCZYŃCY I PROMOCJA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60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Darczyńcy — ewidencja, umowy darowizny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61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Zbiórki publiczne — zgłoszenia, sprawozdania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62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Status OPP i rozliczenia 1,5% podatku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63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Sponsoring, współpraca z biznesem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64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Promocja, PR, media, www, social media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B5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65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Wydawnictwa i publikacje własne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A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WSPÓŁPRACA ZEWNĘTRZNA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1F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70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Współpraca z administracją publiczną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71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Członkostwo w federacjach, sieciach, koalicjach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72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Współpraca międzynarodowa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73</w:t>
            </w:r>
          </w:p>
        </w:tc>
        <w:tc>
          <w:tcPr>
            <w:tcW w:type="dxa" w:w="6576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</w:pPr>
            <w:r>
              <w:rPr>
                <w:b/>
                <w:sz w:val="20"/>
              </w:rPr>
              <w:t>Porozumienia o współpracy (ogólne)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vAlign w:val="center"/>
            <w:shd w:val="clear" w:color="auto" w:fill="D6E0EC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</w:rPr>
              <w:t>B10</w:t>
            </w:r>
          </w:p>
        </w:tc>
      </w:tr>
    </w:tbl>
    <w:p>
      <w:pPr>
        <w:spacing w:before="160" w:after="0"/>
      </w:pPr>
      <w:r>
        <w:rPr>
          <w:i/>
          <w:color w:val="555555"/>
          <w:sz w:val="18"/>
        </w:rPr>
        <w:t>Klasy 8 i 9 pozostawiono jako rezerwę (np. działalność gospodarcza / odpłatna pożytku publicznego).</w:t>
      </w:r>
    </w:p>
    <w:p>
      <w:r>
        <w:br w:type="page"/>
      </w:r>
    </w:p>
    <w:p>
      <w:pPr>
        <w:pStyle w:val="Heading2"/>
        <w:spacing w:before="0" w:after="120"/>
      </w:pPr>
      <w:r>
        <w:t>Instrukcja wdrożenia</w:t>
      </w:r>
    </w:p>
    <w:p>
      <w:pPr>
        <w:pStyle w:val="ListNumber"/>
        <w:spacing w:before="40" w:after="80"/>
      </w:pPr>
      <w:r>
        <w:rPr>
          <w:b/>
          <w:color w:val="1F3A5F"/>
        </w:rPr>
        <w:t xml:space="preserve">Przyjęcie formalne. </w:t>
      </w:r>
      <w:r>
        <w:t>Wykaz wprowadza Zarząd uchwałą, najlepiej w pakiecie: instrukcja kancelaryjna, JRWA oraz instrukcja archiwalna. Należy wskazać osobę odpowiedzialną za składnicę akt.</w:t>
      </w:r>
    </w:p>
    <w:p>
      <w:pPr>
        <w:pStyle w:val="ListNumber"/>
        <w:spacing w:before="40" w:after="80"/>
      </w:pPr>
      <w:r>
        <w:rPr>
          <w:b/>
          <w:color w:val="1F3A5F"/>
        </w:rPr>
        <w:t xml:space="preserve">Znak sprawy. </w:t>
      </w:r>
      <w:r>
        <w:t>Schemat: SYMBOL_KOMÓRKI.SYMBOL_JRWA.NR_SPRAWY.ROK, np. ZARZ.021.3.2026. W małej fundacji symbol komórki można pominąć (021.3.2026). Wszystkie pisma w danej sprawie noszą ten sam znak.</w:t>
      </w:r>
    </w:p>
    <w:p>
      <w:pPr>
        <w:pStyle w:val="ListNumber"/>
        <w:spacing w:before="40" w:after="80"/>
      </w:pPr>
      <w:r>
        <w:rPr>
          <w:b/>
          <w:color w:val="1F3A5F"/>
        </w:rPr>
        <w:t xml:space="preserve">Teczki. </w:t>
      </w:r>
      <w:r>
        <w:t>Zakładane na rok kalendarzowy, jedna teczka = jedna końcowa klasa JRWA. Opis: nazwa fundacji → symbol → hasło klasyfikacyjne → kategoria archiwalna → rok.</w:t>
      </w:r>
    </w:p>
    <w:p>
      <w:pPr>
        <w:pStyle w:val="ListNumber"/>
        <w:spacing w:before="40" w:after="80"/>
      </w:pPr>
      <w:r>
        <w:rPr>
          <w:b/>
          <w:color w:val="1F3A5F"/>
        </w:rPr>
        <w:t xml:space="preserve">Dokumenty historyczne (zaległe). </w:t>
      </w:r>
      <w:r>
        <w:t>Pogrupować wg nowego JRWA do teczek zbiorczych za dawne lata, sporządzić spis zdawczo-odbiorczy do składnicy akt, a brakować dopiero po przeglądzie. Materiały kategorii A zachować zawsze, niezależnie od wieku.</w:t>
      </w:r>
    </w:p>
    <w:p>
      <w:pPr>
        <w:pStyle w:val="ListNumber"/>
        <w:spacing w:before="40" w:after="80"/>
      </w:pPr>
      <w:r>
        <w:rPr>
          <w:b/>
          <w:color w:val="1F3A5F"/>
        </w:rPr>
        <w:t xml:space="preserve">Brakowanie. </w:t>
      </w:r>
      <w:r>
        <w:t>Po upływie okresu „B”: komisja (min. 2 osoby), protokół oceny i spis dokumentów do zniszczenia, zniszczenie uniemożliwiające odczyt (RODO). Materiały A nie podlegają brakowaniu; pozycje BE — po ekspertyzie.</w:t>
      </w:r>
    </w:p>
    <w:p>
      <w:pPr>
        <w:pStyle w:val="ListNumber"/>
        <w:spacing w:before="40" w:after="80"/>
      </w:pPr>
      <w:r>
        <w:rPr>
          <w:b/>
          <w:color w:val="1F3A5F"/>
        </w:rPr>
        <w:t xml:space="preserve">Wdrożenie w systemie. </w:t>
      </w:r>
      <w:r>
        <w:t>Wykaz został wprowadzony do modułu EZD/kancelarii systemu jako dane startowe (migracja ezd_jrwa.seed_decimal_ngo_v1) i jest gotowy do zakładania teczek.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Jednolity Rzeczowy Wykaz Akt — Fundacja   |   str.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