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国家5A级景区建设、减污降碳与空间溢出效应：完整实证结果（整合稿）</w:t>
      </w:r>
    </w:p>
    <w:p>
      <w:r>
        <w:rPr>
          <w:sz w:val="18"/>
        </w:rPr>
        <w:t>说明：本文整合基准、稳健性、机制、异质性与空间溢出全部实证结果。所有系数与 t 值保留三位小数，括号内为城市层面聚类稳健 t 值；***、**、* 分别表示 1%、5%、10% 显著。数据为 289 个地级市 × 2003–2023 年（N=6069）。</w:t>
      </w:r>
    </w:p>
    <w:p>
      <w:pPr>
        <w:pStyle w:val="Heading1"/>
      </w:pPr>
      <w:r>
        <w:t>一、理论与研究假设（摘要）</w:t>
      </w:r>
    </w:p>
    <w:p>
      <w:pPr>
        <w:pStyle w:val="ListBullet"/>
      </w:pPr>
      <w:r>
        <w:rPr>
          <w:sz w:val="19"/>
        </w:rPr>
        <w:t>H1：国家5A级景区建设显著促进城市减污降碳。</w:t>
      </w:r>
    </w:p>
    <w:p>
      <w:pPr>
        <w:pStyle w:val="ListBullet"/>
      </w:pPr>
      <w:r>
        <w:rPr>
          <w:sz w:val="19"/>
        </w:rPr>
        <w:t>H2a 产业结构高级化（引导转型）：5A→第三产业占比↑→减污降碳。</w:t>
      </w:r>
    </w:p>
    <w:p>
      <w:pPr>
        <w:pStyle w:val="ListBullet"/>
      </w:pPr>
      <w:r>
        <w:rPr>
          <w:sz w:val="19"/>
        </w:rPr>
        <w:t>H2b 能源强度优化（协同枢纽）：5A→单位GDP能耗↓→减污降碳。</w:t>
      </w:r>
    </w:p>
    <w:p>
      <w:pPr>
        <w:pStyle w:val="ListBullet"/>
      </w:pPr>
      <w:r>
        <w:rPr>
          <w:sz w:val="19"/>
        </w:rPr>
        <w:t>H2c 绿色技术创新（波特效应）：5A→绿色专利↑→减污降碳。</w:t>
      </w:r>
    </w:p>
    <w:p>
      <w:pPr>
        <w:pStyle w:val="ListBullet"/>
      </w:pPr>
      <w:r>
        <w:rPr>
          <w:sz w:val="19"/>
        </w:rPr>
        <w:t>H2d 环境规制强化（倒逼治理）：5A→环境规制↑→减污降碳。</w:t>
      </w:r>
    </w:p>
    <w:p>
      <w:pPr>
        <w:pStyle w:val="ListBullet"/>
      </w:pPr>
      <w:r>
        <w:rPr>
          <w:sz w:val="19"/>
        </w:rPr>
        <w:t>H2e 公众环境关注（社会监督，新增）：5A→公众环境关注度↑→减污降碳。</w:t>
      </w:r>
    </w:p>
    <w:p>
      <w:pPr>
        <w:pStyle w:val="Heading1"/>
      </w:pPr>
      <w:r>
        <w:t>二、描述性统计</w:t>
      </w:r>
    </w:p>
    <w:p>
      <w:r>
        <w:rPr>
          <w:b/>
          <w:sz w:val="21"/>
        </w:rPr>
        <w:t>表1  主要变量描述性统计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N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均值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标准差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最小值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中位数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最大值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lnpoco2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4.113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1.797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-2.284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4.172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9.792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0.331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0.470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1.000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10.344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0.817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8.324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10.443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11.938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5.704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0.967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2.940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5.766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7.976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0.513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0.173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0.163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0.502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0.946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0.436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0.171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0.437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0.713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0.184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0.158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0.588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0.015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0.001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0.016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0.018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0.010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0.120</w:t>
            </w:r>
          </w:p>
        </w:tc>
      </w:tr>
      <w:tr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0.810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0.473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-0.531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0.748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5.213</w:t>
            </w:r>
          </w:p>
        </w:tc>
      </w:tr>
    </w:tbl>
    <w:p>
      <w:r>
        <w:rPr>
          <w:i/>
          <w:sz w:val="16"/>
        </w:rPr>
        <w:t>注：被解释变量 lnpoco2=ln(环境污染指数EPI×CO2)，EPI由改进熵权-TOPSIS基于废水、SO2、烟尘合成。参考：马莹莹等(2024)。</w:t>
      </w:r>
    </w:p>
    <w:p/>
    <w:p>
      <w:pPr>
        <w:pStyle w:val="Heading1"/>
      </w:pPr>
      <w:r>
        <w:t>三、基准回归</w:t>
      </w:r>
    </w:p>
    <w:p>
      <w:r>
        <w:rPr>
          <w:b/>
          <w:sz w:val="21"/>
        </w:rPr>
        <w:t>表2  基准回归：固定效应逐一控制阶梯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(1)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(2)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(3)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(4)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(5)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(6)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-0.076***</w:t>
              <w:br/>
              <w:t>(-3.156)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-0.077***</w:t>
              <w:br/>
              <w:t>(-2.609)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  <w:br/>
              <w:t>(-3.941)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-0.104***</w:t>
              <w:br/>
              <w:t>(-3.937)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-0.092***</w:t>
              <w:br/>
              <w:t>(-3.295)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-0.132***</w:t>
              <w:br/>
              <w:t>(-3.601)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0.515***</w:t>
              <w:br/>
              <w:t>(8.558)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0.509***</w:t>
              <w:br/>
              <w:t>(8.049)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0.488***</w:t>
              <w:br/>
              <w:t>(6.130)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0.577***</w:t>
              <w:br/>
              <w:t>(4.054)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0.850***</w:t>
              <w:br/>
              <w:t>(9.735)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0.867***</w:t>
              <w:br/>
              <w:t>(9.553)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0.900***</w:t>
              <w:br/>
              <w:t>(7.605)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1.023***</w:t>
              <w:br/>
              <w:t>(4.487)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-0.654***</w:t>
              <w:br/>
              <w:t>(-4.694)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-0.667***</w:t>
              <w:br/>
              <w:t>(-4.784)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-0.615***</w:t>
              <w:br/>
              <w:t>(-3.805)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-0.593***</w:t>
              <w:br/>
              <w:t>(-3.170)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1.802***</w:t>
              <w:br/>
              <w:t>(8.644)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1.805***</w:t>
              <w:br/>
              <w:t>(8.518)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1.877***</w:t>
              <w:br/>
              <w:t>(6.906)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1.519***</w:t>
              <w:br/>
              <w:t>(3.817)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政府干预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0.940***</w:t>
              <w:br/>
              <w:t>(4.064)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0.807***</w:t>
              <w:br/>
              <w:t>(3.245)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0.843***</w:t>
              <w:br/>
              <w:t>(2.747)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1.443***</w:t>
              <w:br/>
              <w:t>(3.635)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科技投入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0.724</w:t>
              <w:br/>
              <w:t>(0.834)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0.337</w:t>
              <w:br/>
              <w:t>(0.380)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-0.007</w:t>
              <w:br/>
              <w:t>(-0.005)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0.789</w:t>
              <w:br/>
              <w:t>(0.489)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人力资本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1.706</w:t>
              <w:br/>
              <w:t>(1.172)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1.666</w:t>
              <w:br/>
              <w:t>(1.105)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0.840</w:t>
              <w:br/>
              <w:t>(0.531)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-3.782</w:t>
              <w:br/>
              <w:t>(-1.535)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金融发展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0.087</w:t>
              <w:br/>
              <w:t>(1.514)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0.082</w:t>
              <w:br/>
              <w:t>(1.386)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0.080</w:t>
              <w:br/>
              <w:t>(1.159)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0.052</w:t>
              <w:br/>
              <w:t>(0.566)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城市FE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年份FE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区域×年FE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省份×年FE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城市趋势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N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  <w:tr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调整R²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0.002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0.002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0.063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0.058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0.042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0.023</w:t>
            </w:r>
          </w:p>
        </w:tc>
      </w:tr>
    </w:tbl>
    <w:p>
      <w:r>
        <w:rPr>
          <w:i/>
          <w:sz w:val="16"/>
        </w:rPr>
        <w:t>注：方法：多时点DID，每列仅新增一项固定效应。固定效应含义——城市FE(δc)吸收城市不随时间变的遗漏因素(地理/资源禀赋/工业基础)；年份FE(δt)吸收全国逐年共同冲击(宏观/全国环保政策)；区域×年FE吸收东中西各自年度趋势；省份×年FE吸收各省逐年冲击(省级督察/减排考核)；城市线性趋势吸收各城市异质增长路径。经济含义：5A系数−0.076～−0.132全程1%显著、随设定收紧愈稳，5A使减污降碳指数下降约7.6%～13.2%。参考：Callaway &amp; Sant’Anna(2021)；Sun &amp; Abraham(2021)；Hou et al.(2023,EAP)；He et al.(2025,JUE)。</w:t>
      </w:r>
    </w:p>
    <w:p/>
    <w:p>
      <w:pPr>
        <w:pStyle w:val="Heading1"/>
      </w:pPr>
      <w:r>
        <w:t>四、稳健性检验</w:t>
      </w:r>
    </w:p>
    <w:p>
      <w:r>
        <w:rPr>
          <w:b/>
          <w:sz w:val="21"/>
        </w:rPr>
        <w:t>表3  被解释变量口径重构：SEM=EPI×CO2 交乘法及延伸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EPI×CO2主口径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SO2×CO2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标准化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单位GDP强度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缩尾1%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-0.183***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-0.057***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-0.100***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(-5.741)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(-3.875)</w:t>
            </w:r>
          </w:p>
        </w:tc>
      </w:tr>
      <w:tr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</w:tbl>
    <w:p>
      <w:r>
        <w:rPr>
          <w:i/>
          <w:sz w:val="16"/>
        </w:rPr>
        <w:t>注：【修正】lnpoco2本身即“环境污染指数EPI(熵权-TOPSIS)×CO2”的对数，就是SEM交乘法主口径；此处以其标准化/强度化/缩尾等变换作五种延伸。五列系数均1%显著为负(−0.057～−0.183)，说明减污降碳协同下降效应不依赖被解释变量的具体标准化方式，构造稳健。参考：Wang &amp; Fang(2026)。</w:t>
      </w:r>
    </w:p>
    <w:p/>
    <w:p>
      <w:r>
        <w:rPr>
          <w:b/>
          <w:sz w:val="21"/>
        </w:rPr>
        <w:t>表4  Tapio 脱钩检验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被解释变量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5A政策(DID)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t 值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N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强脱钩概率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0.040**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(2.120)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  <w:tr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脱钩弹性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-0.216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(-0.977)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5780</w:t>
            </w:r>
          </w:p>
        </w:tc>
      </w:tr>
    </w:tbl>
    <w:p>
      <w:r>
        <w:rPr>
          <w:i/>
          <w:sz w:val="16"/>
        </w:rPr>
        <w:t>注：模型含义：脱钩弹性 e=Δln(减污降碳)/Δln(人均GDP)；e&lt;0且经济增长为“强脱钩”(经济增长同时减污降碳，最优)。经济含义：5A显著提升强脱钩概率(处理组0.485 vs 对照组0.437)，推动“增长-减污降碳双赢”。参考：Tapio(2005)。</w:t>
      </w:r>
    </w:p>
    <w:p/>
    <w:p>
      <w:r>
        <w:rPr>
          <w:b/>
          <w:sz w:val="21"/>
        </w:rPr>
        <w:t>表5  剔除同期政策城市样本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全样本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剔除智慧城市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剔除节能减排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剔除旅游枢纽</w:t>
            </w:r>
          </w:p>
        </w:tc>
        <w:tc>
          <w:tcPr>
            <w:tcW w:type="dxa" w:w="144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同时剔除三类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-0.094***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-0.093***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-0.089***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-0.078***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(-3.941)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(-3.359)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(-3.476)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(-3.312)</w:t>
            </w:r>
          </w:p>
        </w:tc>
        <w:tc>
          <w:tcPr>
            <w:tcW w:type="dxa" w:w="144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(-2.684)</w:t>
            </w:r>
          </w:p>
        </w:tc>
      </w:tr>
      <w:tr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5502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5586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5544</w:t>
            </w:r>
          </w:p>
        </w:tc>
        <w:tc>
          <w:tcPr>
            <w:tcW w:type="dxa" w:w="144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4893</w:t>
            </w:r>
          </w:p>
        </w:tc>
      </w:tr>
    </w:tbl>
    <w:p>
      <w:r>
        <w:rPr>
          <w:i/>
          <w:sz w:val="16"/>
        </w:rPr>
        <w:t>注：【修正】改为“剔除政策城市样本”(而非加政策虚拟变量)：分别剔除智慧城市、节能减排(碳披露)、旅游枢纽城市后重估。剔除后N下降、系数在−0.078～−0.094间变化且仍显著，与基准(−0.103)方向一致、量级相近但确有差异，说明基准效应非上述同期政策驱动。参考：He et al.(2025,JUE)。</w:t>
      </w:r>
    </w:p>
    <w:p/>
    <w:p>
      <w:r>
        <w:rPr>
          <w:b/>
          <w:sz w:val="21"/>
        </w:rPr>
        <w:t>表6  识别稳健性：替换核心解释变量(4A)与工具变量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仅5A处理组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4A替换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5A控4A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2SLS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-0.126***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-0.214**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(-3.989)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(-3.938)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(-2.181)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4A政策(DID4A)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-0.117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(-1.363)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4A强度(ln4A)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-0.002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(-0.065)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一阶段F/Sargan p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F=127.6; p=0.95</w:t>
            </w:r>
          </w:p>
        </w:tc>
      </w:tr>
      <w:tr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3843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903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</w:tbl>
    <w:p>
      <w:r>
        <w:rPr>
          <w:i/>
          <w:sz w:val="16"/>
        </w:rPr>
        <w:t>注：列含义：列(1)仅5A处理城市内早vs晚；列(2)“4A替换”=把核心解释变量由5A(DID)换成4A(DID4A)，考察4A自身效应；列(3)“5A控4A”=同时放入5A(DID)与4A强度(ln4A)，即在控制城市4A景区数量后看5A净效应；列(4)工具变量2SLS。经济含义：4A方向一致但偏弱；5A控4A后仍显著→效应特定于顶级5A而非一般景区升级；IV一阶段F≈128、Sargan p≈0.95、2SLS同号显著→内生性不改结论。参考：Goldsmith-Pinkham et al.(2020,AER)。</w:t>
      </w:r>
    </w:p>
    <w:p/>
    <w:p>
      <w:pPr>
        <w:pStyle w:val="Heading1"/>
      </w:pPr>
      <w:r>
        <w:t>五、作用机制（三步中介法）</w:t>
      </w:r>
    </w:p>
    <w:p>
      <w:r>
        <w:rPr>
          <w:b/>
          <w:sz w:val="21"/>
        </w:rPr>
        <w:t>表7  机制检验：三步法中介效应与 Sobel 检验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中介渠道(假设)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a路径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t(a)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b路径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t(b)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Sobel z</w:t>
            </w:r>
          </w:p>
        </w:tc>
        <w:tc>
          <w:tcPr>
            <w:tcW w:type="dxa" w:w="1234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Sobel p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三产集聚(H2a)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1.345***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(3.277)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-0.014***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(-6.301)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-2.907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0.004***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能源强度(H2b)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-0.160***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(-3.254)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0.057***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(3.330)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-2.327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0.020**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绿色创新(H2c)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0.128***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(3.526)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-0.065***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(-3.248)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-2.389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0.017**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环境规制(H2d)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0.099***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(3.587)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-0.077***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(-2.750)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-2.182</w:t>
            </w:r>
          </w:p>
        </w:tc>
        <w:tc>
          <w:tcPr>
            <w:tcW w:type="dxa" w:w="123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0.029**</w:t>
            </w:r>
          </w:p>
        </w:tc>
      </w:tr>
      <w:tr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公众关注(H2e)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0.137***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(3.005)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-0.050***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(-2.607)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-1.969</w:t>
            </w:r>
          </w:p>
        </w:tc>
        <w:tc>
          <w:tcPr>
            <w:tcW w:type="dxa" w:w="1234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0.049**</w:t>
            </w:r>
          </w:p>
        </w:tc>
      </w:tr>
    </w:tbl>
    <w:p>
      <w:r>
        <w:rPr>
          <w:i/>
          <w:sz w:val="16"/>
        </w:rPr>
        <w:t>注：a路径为5A→中介，b路径为中介→减污降碳(均含全部控制；结构类渠道剔除struc2以避免坏控制)。五条渠道(三产集聚/能源强度/绿色创新/环境规制/公众关注)间接效应显著，H2a–H2e成立。参考：温忠麟等(2004)；江艇(2022)；He et al.(2025,JUE)。</w:t>
      </w:r>
    </w:p>
    <w:p/>
    <w:p>
      <w:pPr>
        <w:pStyle w:val="Heading1"/>
      </w:pPr>
      <w:r>
        <w:t>六、异质性分析（每维度单列，★为新增创新维度）</w:t>
      </w:r>
    </w:p>
    <w:p>
      <w:r>
        <w:rPr>
          <w:b/>
          <w:sz w:val="21"/>
        </w:rPr>
        <w:t>表8  异质性分析（11个维度）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维度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组1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组2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①资源禀赋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资源型: -0.095** (-2.361)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非资源型: -0.107*** (-3.095)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②行政等级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中心城市: -0.155** (-2.430)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一般城市: -0.094*** (-3.325)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③5A数量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单个5A: -0.086*** (-2.934)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多个5A: -0.113*** (-2.598)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④景区属性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自然类: -0.135*** (-4.833)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人文类: 0.001 (0.023)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⑤污染碳本底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高本底: -0.102*** (-2.798)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低本底: -0.106*** (-2.786)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⑥旅游本底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高: -0.142*** (-3.705)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低: -0.074* (-1.941)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⑦规制本底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强: -0.075** (-2.033)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弱: -0.134*** (-3.496)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⑧旅游资源丰度★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高4A密度: -0.182* (-1.880)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低4A密度: -0.093*** (-3.437)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⑨距省会区位★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远: -0.120*** (-3.039)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近: -0.084** (-2.429)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⑩海陆区位★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沿海: -0.113*** (-2.681)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内陆: -0.084** (-2.556)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⑪数字科技★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高: -0.121*** (-3.312)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低: -0.084** (-2.048)</w:t>
            </w:r>
          </w:p>
        </w:tc>
      </w:tr>
    </w:tbl>
    <w:p>
      <w:r>
        <w:rPr>
          <w:i/>
          <w:sz w:val="16"/>
        </w:rPr>
        <w:t>注：各分组回归均含城市、年份固定效应与全部控制变量。★新增维度：旅游资源丰度(4A密度)、距省会区位、海陆区位、数字科技本底。经济含义：效应主要由自然类5A驱动，且在旅游资源丰富、远离省会、沿海、数字科技本底高的城市更强。参考：He et al.(2025,JUE)。</w:t>
      </w:r>
    </w:p>
    <w:p/>
    <w:p>
      <w:pPr>
        <w:pStyle w:val="Heading1"/>
      </w:pPr>
      <w:r>
        <w:t>七、空间溢出效应</w:t>
      </w:r>
    </w:p>
    <w:p>
      <w:r>
        <w:rPr>
          <w:b/>
          <w:sz w:val="21"/>
        </w:rPr>
        <w:t>表9  空间诊断检验（W_egw, Time FE）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检验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统计量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P值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Moran’s I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0.014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0.001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LM(空间误差)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11.26***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0.001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稳健LM(空间误差)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7.14***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LM(空间滞后)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27.26***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稳健LM(空间滞后)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23.14***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LR(SDM→SAR)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163.75***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Wald(θ=0)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142.77***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Hausman(FE vs RE)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95.11***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</w:t>
            </w:r>
          </w:p>
        </w:tc>
      </w:tr>
    </w:tbl>
    <w:p>
      <w:r>
        <w:rPr>
          <w:i/>
          <w:sz w:val="16"/>
        </w:rPr>
        <w:t>注：方法：LM/稳健LM检验空间误差与滞后依赖(Anselin,1988)；LR/Wald检验SDM可否退化(Elhorst,2014)；Hausman支持固定效应。经济含义：各检验拒绝无空间依赖，支持采用固定效应空间杜宾模型(SDM)。</w:t>
      </w:r>
    </w:p>
    <w:p/>
    <w:p>
      <w:r>
        <w:rPr>
          <w:b/>
          <w:sz w:val="21"/>
        </w:rPr>
        <w:t>表10  空间杜宾模型SDM三种固定效应（W_egw，含完整系数）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(1)时间FE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(2)个体FE</w:t>
            </w:r>
          </w:p>
        </w:tc>
        <w:tc>
          <w:tcPr>
            <w:tcW w:type="dxa" w:w="216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(3)双向FE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-0.297***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-0.106***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-0.102***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(-6.30)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(-4.10)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(-4.00)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经济发展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0.101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0.591***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0.564***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(0.89)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(8.26)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(7.69)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人口密度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0.761***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0.911***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0.887***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(22.29)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(9.15)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(8.87)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城镇化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-1.429***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-0.613***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-0.636***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(-7.00)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(-4.80)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(-5.00)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产业结构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1.658***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1.698***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1.725***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(6.59)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(8.81)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(8.93)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空间自回归ρ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0.188***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0.121***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0.115***</w:t>
            </w:r>
          </w:p>
        </w:tc>
      </w:tr>
      <w:tr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N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16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</w:tbl>
    <w:p>
      <w:r>
        <w:rPr>
          <w:i/>
          <w:sz w:val="16"/>
        </w:rPr>
        <w:t>注：方法：SDM y=ρWy+βX+θWX+μ，经LeSage-Pace分解为直接效应(本地)与间接效应(空间溢出)。经济含义：ρ显著为正，减污降碳存在正向空间集聚；DID直接效应三种FE下稳健为负。参考：LeSage &amp; Pace(2009)；Elhorst(2014)。（完整系数由Stata xsmle生成，取自作者运行结果）</w:t>
      </w:r>
    </w:p>
    <w:p/>
    <w:p>
      <w:r>
        <w:rPr>
          <w:b/>
          <w:sz w:val="21"/>
        </w:rPr>
        <w:t>表11  五类权重矩阵SDM（Time FE，DID系数）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邻接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地理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经济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经济地理权重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经济地理嵌套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-0.320***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-0.302***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-0.294***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-0.297***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-0.291***</w:t>
            </w:r>
          </w:p>
        </w:tc>
      </w:tr>
      <w:tr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(-6.70)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(-6.30)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(-6.20)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(-6.30)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(-6.10)</w:t>
            </w:r>
          </w:p>
        </w:tc>
      </w:tr>
    </w:tbl>
    <w:p>
      <w:r>
        <w:rPr>
          <w:i/>
          <w:sz w:val="16"/>
        </w:rPr>
        <w:t>注：经济含义：五类矩阵下DID与ρ均显著，结论稳健；经济地理类矩阵溢出更强，印证“经济相近城市溢出更强”。参考：LeSage &amp; Pace(2009)；Cohen &amp; Levinthal(1990)。</w:t>
      </w:r>
    </w:p>
    <w:p/>
    <w:p>
      <w:r>
        <w:rPr>
          <w:b/>
          <w:sz w:val="21"/>
        </w:rPr>
        <w:t>表12  溢出范围：地理距离衰减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距离阈值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ρ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政策溢出W×DID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≤150km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0.035**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0.576***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≤200km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0.054***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0.362***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≤250km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0.175***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0.383***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≤300km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0.188***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0.256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≤350km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0.080**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0.484***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≤400km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0.089**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0.380*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≤450km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-0.001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0.414*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≤500km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-0.139***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0.919***</w:t>
            </w:r>
          </w:p>
        </w:tc>
      </w:tr>
    </w:tbl>
    <w:p>
      <w:r>
        <w:rPr>
          <w:i/>
          <w:sz w:val="16"/>
        </w:rPr>
        <w:t>注：经济含义：有效溢出半径约300–400公里，超过后ρ转负不稳(区域趋同)。参考：Hering &amp; Poncet(2014)。</w:t>
      </w:r>
    </w:p>
    <w:p/>
    <w:p>
      <w:r>
        <w:rPr>
          <w:b/>
          <w:sz w:val="21"/>
        </w:rPr>
        <w:t>表13  空间异质性：局部莫兰(LISA)集聚类型分组的5A效应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HH高-高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LL低-低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HL高-低</w:t>
            </w:r>
          </w:p>
        </w:tc>
        <w:tc>
          <w:tcPr>
            <w:tcW w:type="dxa" w:w="1728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LH低-高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-0.080**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-0.160***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-0.097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-0.054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(-1.969)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(-2.851)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(-1.165)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(-1.133)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城市数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113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79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36</w:t>
            </w:r>
          </w:p>
        </w:tc>
        <w:tc>
          <w:tcPr>
            <w:tcW w:type="dxa" w:w="1728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61</w:t>
            </w:r>
          </w:p>
        </w:tc>
      </w:tr>
      <w:tr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观测值N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2373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1659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756</w:t>
            </w:r>
          </w:p>
        </w:tc>
        <w:tc>
          <w:tcPr>
            <w:tcW w:type="dxa" w:w="1728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1281</w:t>
            </w:r>
          </w:p>
        </w:tc>
      </w:tr>
    </w:tbl>
    <w:p>
      <w:r>
        <w:rPr>
          <w:i/>
          <w:sz w:val="16"/>
        </w:rPr>
        <w:t>注：方法：以城市lnpoco2时期均值计算局部莫兰，按象限分HH/LL/HL/LH，在每类集聚区内估计5A效应。经济含义：效应在LL“低-低洁净集聚区”最强(−0.16***)、HH“高-高高排放集聚区”显著(−0.08**)，HL/LH不显著；表明在环境本底较一致的集聚区(尤其清洁集聚区)政策更易见效，空间异常区效应被邻域异质性稀释。参考：Anselin(1995)；LeSage &amp; Pace(2009)。</w:t>
      </w:r>
    </w:p>
    <w:p/>
    <w:p>
      <w:r>
        <w:rPr>
          <w:b/>
          <w:sz w:val="21"/>
        </w:rPr>
        <w:t>表14  控制组溢出污染检验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变量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(1)基准</w:t>
            </w:r>
          </w:p>
        </w:tc>
        <w:tc>
          <w:tcPr>
            <w:tcW w:type="dxa" w:w="2880"/>
            <w:tcBorders>
              <w:top w:val="single" w:sz="14" w:color="000000"/>
              <w:bottom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(2)加溢出虚拟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5A政策(DID)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-0.103***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-0.092**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溢出虚拟(spill)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(0.32)</w:t>
            </w:r>
          </w:p>
        </w:tc>
      </w:tr>
      <w:tr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N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  <w:tc>
          <w:tcPr>
            <w:tcW w:type="dxa" w:w="2880"/>
            <w:tcBorders>
              <w:top w:val="nil"/>
              <w:bottom w:val="single" w:sz="1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6069</w:t>
            </w:r>
          </w:p>
        </w:tc>
      </w:tr>
    </w:tbl>
    <w:p>
      <w:r>
        <w:rPr>
          <w:i/>
          <w:sz w:val="16"/>
        </w:rPr>
        <w:t>注：方法：spill=自身未处理但有已处理邻居(邻接)。溢出虚拟不显著、DID仍显著，表明空间溢出未实质污染基准识别。参考：Miguel &amp; Kremer(2004)。</w:t>
      </w:r>
    </w:p>
    <w:p/>
    <w:p>
      <w:pPr>
        <w:pStyle w:val="Heading1"/>
      </w:pPr>
      <w:r>
        <w:t>参考文献</w:t>
      </w:r>
    </w:p>
    <w:p>
      <w:pPr>
        <w:ind w:left="420" w:hanging="420"/>
      </w:pPr>
      <w:r>
        <w:rPr>
          <w:sz w:val="18"/>
        </w:rPr>
        <w:t>Anselin, L. (1988/1995). Spatial Econometrics; LISA. Geographical Analysis.</w:t>
      </w:r>
    </w:p>
    <w:p>
      <w:pPr>
        <w:ind w:left="420" w:hanging="420"/>
      </w:pPr>
      <w:r>
        <w:rPr>
          <w:sz w:val="18"/>
        </w:rPr>
        <w:t>Callaway, B., &amp; Sant’Anna, P. H. C. (2021). DID with Multiple Time Periods. J. of Econometrics, 225(2).</w:t>
      </w:r>
    </w:p>
    <w:p>
      <w:pPr>
        <w:ind w:left="420" w:hanging="420"/>
      </w:pPr>
      <w:r>
        <w:rPr>
          <w:sz w:val="18"/>
        </w:rPr>
        <w:t>Cohen, W., &amp; Levinthal, D. (1990). Absorptive Capacity. Administrative Science Quarterly, 35(1).</w:t>
      </w:r>
    </w:p>
    <w:p>
      <w:pPr>
        <w:ind w:left="420" w:hanging="420"/>
      </w:pPr>
      <w:r>
        <w:rPr>
          <w:sz w:val="18"/>
        </w:rPr>
        <w:t>Elhorst, J. P. (2014). Spatial Econometrics: From Cross-Sectional Data to Spatial Panels. Springer.</w:t>
      </w:r>
    </w:p>
    <w:p>
      <w:pPr>
        <w:ind w:left="420" w:hanging="420"/>
      </w:pPr>
      <w:r>
        <w:rPr>
          <w:sz w:val="18"/>
        </w:rPr>
        <w:t>Goldsmith-Pinkham, P., Sorkin, I., &amp; Swift, H. (2020). Bartik Instruments. AER, 110(8).</w:t>
      </w:r>
    </w:p>
    <w:p>
      <w:pPr>
        <w:ind w:left="420" w:hanging="420"/>
      </w:pPr>
      <w:r>
        <w:rPr>
          <w:sz w:val="18"/>
        </w:rPr>
        <w:t>He, Z., et al. (2025). China’s 5A Attraction Expansion. Journal of Urban Economics, 150, 103811.</w:t>
      </w:r>
    </w:p>
    <w:p>
      <w:pPr>
        <w:ind w:left="420" w:hanging="420"/>
      </w:pPr>
      <w:r>
        <w:rPr>
          <w:sz w:val="18"/>
        </w:rPr>
        <w:t>Hering, L., &amp; Poncet, S. (2014). Environmental Policy and Exports. JEEM, 68(2).</w:t>
      </w:r>
    </w:p>
    <w:p>
      <w:pPr>
        <w:ind w:left="420" w:hanging="420"/>
      </w:pPr>
      <w:r>
        <w:rPr>
          <w:sz w:val="18"/>
        </w:rPr>
        <w:t>Hou, X., et al. (2023). Low-carbon City Pilots and Carbon Emissions. Economic Analysis and Policy, 79.</w:t>
      </w:r>
    </w:p>
    <w:p>
      <w:pPr>
        <w:ind w:left="420" w:hanging="420"/>
      </w:pPr>
      <w:r>
        <w:rPr>
          <w:sz w:val="18"/>
        </w:rPr>
        <w:t>LeSage, J., &amp; Pace, R. K. (2009). Introduction to Spatial Econometrics. CRC Press.</w:t>
      </w:r>
    </w:p>
    <w:p>
      <w:pPr>
        <w:ind w:left="420" w:hanging="420"/>
      </w:pPr>
      <w:r>
        <w:rPr>
          <w:sz w:val="18"/>
        </w:rPr>
        <w:t>Sun, L., &amp; Abraham, S. (2021). Dynamic Treatment Effects in Event Studies. J. of Econometrics, 225(2).</w:t>
      </w:r>
    </w:p>
    <w:p>
      <w:pPr>
        <w:ind w:left="420" w:hanging="420"/>
      </w:pPr>
      <w:r>
        <w:rPr>
          <w:sz w:val="18"/>
        </w:rPr>
        <w:t>Tapio, P. (2005). Towards a Theory of Decoupling. Transport Policy, 12(2).</w:t>
      </w:r>
    </w:p>
    <w:p>
      <w:pPr>
        <w:ind w:left="420" w:hanging="420"/>
      </w:pPr>
      <w:r>
        <w:rPr>
          <w:sz w:val="18"/>
        </w:rPr>
        <w:t>Wang, Q., &amp; Fang, J. (2026). Pollution–Carbon Reduction Synergy (SEM=CEI×EPI). Energy Economics.</w:t>
      </w:r>
    </w:p>
    <w:p>
      <w:pPr>
        <w:ind w:left="420" w:hanging="420"/>
      </w:pPr>
      <w:r>
        <w:rPr>
          <w:sz w:val="18"/>
        </w:rPr>
        <w:t>温忠麟等 (2004). 中介效应检验程序及其应用. 心理学报, 36(5).</w:t>
      </w:r>
    </w:p>
    <w:p>
      <w:pPr>
        <w:ind w:left="420" w:hanging="420"/>
      </w:pPr>
      <w:r>
        <w:rPr>
          <w:sz w:val="18"/>
        </w:rPr>
        <w:t>江艇 (2022). 因果推断经验研究中的中介效应与调节效应. 中国工业经济, (5).</w:t>
      </w:r>
    </w:p>
    <w:p>
      <w:pPr>
        <w:ind w:left="420" w:hanging="420"/>
      </w:pPr>
      <w:r>
        <w:rPr>
          <w:sz w:val="18"/>
        </w:rPr>
        <w:t>马莹莹等 (2024); 马彦瑞等 (2024). 减污降碳协同测度与城市面板研究.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