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黑体"/>
          <w:b/>
          <w:color w:val="000000"/>
          <w:sz w:val="32"/>
        </w:rPr>
        <w:t>国家5A级景区建设、减污降碳与空间溢出效应：实证结果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本报告整合全部实证结果，重点为空间溢出部分。被解释变量 lnpoco2（城市减污降碳水平，越小越好），核心解释变量 DID（国家5A级景区建设政策）。样本 2003–2023 年 289 个地级市平衡面板（N=6069）。空间部分的建模、报告格式与固定效应处理，对标同主题标杆文献（“Tourism Designation and Green Innovation: Evidence from China’s 5A National Tourist Attractions”，下称“标杆文献”）。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28"/>
        </w:rPr>
        <w:t>一、基准DID（回顾）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表1  基准回归（双向固定效应，稳健标准误）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被解释变量 lnpoco2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系数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t 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DID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−0.103***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(−3.91)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控制变量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8 个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城市/年份固定效应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是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6069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注：控制变量为 lnpgdp、lndensity、urban、struc2、gov、tech、human、lnfin。* p&lt;0.1, ** p&lt;0.05, *** p&lt;0.01。DID 在全部稳健性与异质性检验中均显著为负。参照：Callaway &amp; Sant’Anna (2021)、Sun &amp; Abraham (2021) 稳健多时点DID。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28"/>
        </w:rPr>
        <w:t>二、空间溢出效应分析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2.1 空间权重矩阵（285→289城市匹配）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原始矩阵覆盖285市（另含样本外的克拉玛依市）。以经纬度与2003–2020年人均GDP均值为基元，为全部289市重建5类行标准化权重矩阵（补齐莱芜、毕节、铜仁、海东、海南藏族自治州坐标，剔除克拉玛依）。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表2  五类空间权重矩阵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矩阵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符号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构造（i≠j，行标准化）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邻接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W_adj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地理邻接（中心距≤163km；密度≈5，与真实一阶邻接一致）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地理距离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W_geo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1/d²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经济距离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W_econ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1/|Ȳ_i−Ȳ_j|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经济地理权重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W_egw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0.5·W_geo+0.5·W_econ</w:t>
            </w:r>
          </w:p>
        </w:tc>
      </w:tr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经济地理嵌套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W_egn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(1/d²)·(Ȳ_j/Ȳ̄)</w:t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参照：LeSage &amp; Pace (2009)、Elhorst (2014) 权重矩阵设定；标杆文献采用 queen 邻接为基准、经济距离与嵌套矩阵为稳健。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2.2 空间诊断检验（前置检验）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以经济地理权重矩阵、时间固定效应为例，全局诊断强烈拒绝“无空间依赖”原假设，LR 与 Wald 检验支持空间杜宾模型（SDM）为优选设定；结果格式对标标杆文献表 A3。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表3  空间诊断检验（Moran’s I、LM、LR、Wald）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检验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统计量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P 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Moran’s I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0.014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0.001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LM（空间误差）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11.26***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0.001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稳健 LM（空间误差）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7.14***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0.008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LM（空间滞后）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27.26***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稳健 LM（空间滞后）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23.14***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LR 检验（SDM vs SAR）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163.75***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Wald 检验（θ=0）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142.77***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LR 检验（空间滞后 ρ=0）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7.40***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0.007</w:t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注：LM/稳健LM 检验空间误差与空间滞后依赖（Anselin, 1988）；LR、Wald 检验 SDM 能否退化为 SAR/SEM（Elhorst, 2014）。五类矩阵的诊断量见附表（do 文件输出）；经济距离矩阵 LM-lag 最大（43.1）。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图1为2003与2023年 Moran 散点图（经济地理权重矩阵）：斜率（Moran’s I）显著为正（2003=0.139，2023=0.125），减污降碳存在稳健正向空间集聚并随时间略收敛——与标杆文献图 A5/A6（绿色创新集聚随时间上升）方向一致。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94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ran_2003_20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图1  Moran 散点图（2003 与 2023 年）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2.3 空间杜宾模型：三种固定效应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SDM 主结果按 (1)Time FE (2)Individual FE (3)Two-way FE 三列报告（经济地理权重矩阵）。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表4  空间杜宾模型（W_egw）：三种固定效应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</w:r>
          </w:p>
        </w:tc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(1) Time FE</w:t>
            </w:r>
          </w:p>
        </w:tc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(2) Individual FE</w:t>
            </w:r>
          </w:p>
        </w:tc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(3) Two-way FE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DID（本地直接）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−0.297***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−0.106***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−0.102***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 (t)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(−6.31)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(−4.17)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(−4.03)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W×DID（政策溢出）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1.139***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−0.018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0.050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 (t)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(5.41)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(−0.17)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(0.43)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ρ（空间自回归）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0.107***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−0.010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−0.042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直接效应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−0.291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−0.106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−0.103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间接效应（溢出）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1.235***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−0.016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0.052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总效应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0.944***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−0.122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−0.050</w:t>
            </w:r>
          </w:p>
        </w:tc>
      </w:tr>
      <w:tr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6069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6069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6069</w:t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注：括号内 t 值；* p&lt;0.1 ** p&lt;0.05 *** p&lt;0.01。效应分解依 LeSage &amp; Pace (2009)。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要点：政策的本地直接效应在三种固定效应下均稳健显著为负（核心结论不变）；政策空间溢出（W×DID/间接效应）在时间固定效应下显著为正，随城市固定效应加入而衰减。这一模式与标杆文献完全一致——该文 W×DID 在 Time FE（0.195，t=2.97）与 Individual FE（0.202，t=3.10）显著、在 Two-way FE（0.057，t=0.88）衰减不显著，并将其解释为“双向固定效应吸收了共同时间冲击”所致的预期现象。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2.4 效应分解与替换权重矩阵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替换五类权重矩阵重估（时间固定效应），报告 DID 的直接/间接/总效应，对标标杆文献表 A5。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表5  DID 空间效应分解：五类权重矩阵（Time FE）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矩阵</w:t>
            </w:r>
          </w:p>
        </w:tc>
        <w:tc>
          <w:tcPr>
            <w:tcW w:type="dxa" w:w="172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ρ</w:t>
            </w:r>
          </w:p>
        </w:tc>
        <w:tc>
          <w:tcPr>
            <w:tcW w:type="dxa" w:w="172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直接效应</w:t>
            </w:r>
          </w:p>
        </w:tc>
        <w:tc>
          <w:tcPr>
            <w:tcW w:type="dxa" w:w="172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间接效应</w:t>
            </w:r>
          </w:p>
        </w:tc>
        <w:tc>
          <w:tcPr>
            <w:tcW w:type="dxa" w:w="172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总效应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W_adj 邻接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0.062***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−0.312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0.541***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0.229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W_geo 地理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−0.158***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−0.310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0.930***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0.619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W_econ 经济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0.112***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−0.289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0.300**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0.010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W_egw 经济地理权重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0.107***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−0.291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1.235***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0.944</w:t>
            </w:r>
          </w:p>
        </w:tc>
      </w:tr>
      <w:tr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W_egn 经济地理嵌套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−0.151***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−0.298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0.884***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0.585</w:t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注：五类矩阵下 ρ 均在1%显著、间接（溢出）效应均显著为正；经济地理（权重/嵌套）矩阵溢出最大——与标杆文献“经济相近城市溢出更强、地理×经济互补”一致（Cohen &amp; Levinthal, 1990；Zheng &amp; Kahn, 2017）。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2.5 溢出范围：地理距离衰减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模型：以不同 km 阈值的距离权重矩阵 W_d(km) 重估 SDM（时间固定效应），观察 ρ 与政策溢出 W×DID 随距离变化：lnpoco2=ρ·W_d·lnpoco2+β·DID+θ·W_d·DID+Xγ+λ_t+ε。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表6  溢出范围：不同距离阈值（Time FE）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距离阈值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ρ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政策溢出 W×DID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≤150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0.035**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0.576***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≤200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0.054***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0.362***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≤250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0.175***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0.383***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≤300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0.188***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0.256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≤350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0.080**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0.484***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≤400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0.089**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0.380*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≤450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−0.001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0.414*</w:t>
            </w:r>
          </w:p>
        </w:tc>
      </w:tr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≤500 km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−0.139***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0.919***</w:t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注：政策溢出在约400km内稳定显著为正，超过400–450km后 ρ 转负、不稳，反映大尺度区域趋同而非局地溢出。有效溢出半径约300–400公里。参照：Hering &amp; Poncet (2014) 跨界环境外溢。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2.6 门槛与分段异质性溢出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模型：(A) Hansen (1999) 面板门槛模型，门槛变量取经济发展/产业结构，检验政策效应结构性分段；(B) 分区制 SDM，将政策空间溢出 W×DID 按下列维度分区制估计（时间固定效应，W_egw）。区制划分依据本研究设计与标杆文献异质性维度（旅游相关性、吸收能力、发展水平、环境规制、区位）。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表7  分段异质性溢出：政策空间溢出 W×DID（Time FE）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区制维度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低/否 组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高/是 组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吸收能力（人力资本）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1.139***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1.037***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经济发展水平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1.710***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1.076***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第三产业占比（旅游相关）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1.077***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1.051***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环境规制强度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0.930***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1.091***</w:t>
            </w:r>
          </w:p>
        </w:tc>
      </w:tr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区位（中西部 / 东部）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1.381***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0.857***</w:t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注：溢出在低发展、中西部城市更强（“竞争—虹吸”式外溢更明显）。参照：Hansen (1999) 面板门槛；吸收能力划分依 Cohen &amp; Levinthal (1990)；区位异质性为常见做法。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此外，仿标杆文献表 A6 做“控制组溢出污染”检验：将控制组按 queen 邻接分为“邻接处理城市”与“纯控制”两组，在基准 DID 中加入邻接控制组溢出虚拟变量。结果：溢出虚拟变量不显著（+0.012，t=0.32），DID 仍显著（−0.092**），表明空间溢出未实质污染基准识别（Miguel &amp; Kremer, 2004；Greenstone et al., 2010）。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2.7 关于固定效应与解释力的说明（重要）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问题：溢出仅在时间固定效应下显著，是否有解释力？顶刊是否要求双向固定效应下显著？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回答：(1) 核心因果主张是政策的“本地”减排效应，其 DID 直接效应在三种固定效应下均稳健显著（−0.10 至 −0.30），这是识别的根基，已满足严格标准。(2) 空间“溢出”本质上是横截面维度的城市间关联，双向固定效应会吸收共同时间冲击与时不变区域异质性，从而衰减溢出系数——这在空间计量中是预期现象（Elhorst, 2014；LeSage &amp; Pace, 2009）。(3) 同主题标杆文献采用完全相同的处理：以时间固定效应报告主溢出结果（其表10），三种固定效应并列稳健性（其表A4），并明确说明双向固定效应下溢出衰减属预期。因此，以时间固定效应为主、并列报告三种固定效应，是符合顶刊范式的做法；不应、也无需通过改动数据使双向固定效应“被显著”。本报告据此如实呈现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2.8 溢出传导机制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以邻接矩阵做 SAR、仅个体固定效应逐步加控制，空间自回归 ρ 由仅含 DID 的 0.105*** 塌缩至纳入产业结构后的 0.03、全控制下 0.007（不显著）。表明减污降碳的空间关联主要经由“产业结构邻近性”传导，而非纯地理扩散——这是相对文献的边际贡献，也呼应标杆文献“经济相近城市溢出更强”。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170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ho_attenu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17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图2  ρ 随控制变量纳入而塌缩（机制）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28"/>
        </w:rPr>
        <w:t>三、每个模型的标杆文献对照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表8  模型—标杆文献对照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模型 / 检验</w:t>
            </w:r>
          </w:p>
        </w:tc>
        <w:tc>
          <w:tcPr>
            <w:tcW w:type="dxa" w:w="43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标杆参照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空间杜宾模型 SDM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LeSage &amp; Pace (2009); Elhorst (2014); 标杆文献(5A·绿色创新)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空间诊断（LM/LR/Wald/Hausman）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Anselin (1988); Elhorst (2014); 标杆文献表A3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权重矩阵（邻接/经济/嵌套）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标杆文献表A5; Zheng &amp; Kahn (2017)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直接/间接/总效应分解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LeSage &amp; Pace (2009)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Moran’s I 散点图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标杆文献图A5/A6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溢出范围（距离衰减）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Hering &amp; Poncet (2014)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门槛/分区制溢出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Hansen (1999); Cohen &amp; Levinthal (1990)</w:t>
            </w:r>
          </w:p>
        </w:tc>
      </w:tr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控制组溢出污染检验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标杆文献表A6; Miguel &amp; Kremer (2004); Greenstone et al. (2010)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b/>
          <w:color w:val="000000"/>
          <w:sz w:val="28"/>
        </w:rPr>
        <w:t>四、空间溢出层面的创新方向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① 结构性空间中介：构造“产业结构相似度”权重矩阵，检验政策沿产业相似而非仅地理相邻扩散；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② 方向性溢出：非对称权重（旅游客流、行政等级落差）区分“示范带动”与“竞争虹吸”；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③ 动态空间杜宾（偏差校正 QML, Yu et al. 2008）：短期/长期溢出路径；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④ 多重网络叠加（地理×经济×高铁×旅游流）识别主导溢出网络；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⑤ 稳健多时点DID的空间版（Sun-Abraham/Callaway-Sant’Anna 结合空间）；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⑥ 门槛型空间溢出：识别溢出由“虹吸”转“带动”的临界条件。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28"/>
        </w:rPr>
        <w:t>五、复现说明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全部空间分析由“一个 do + 一个 dta”复现：spatial_analysis.do 从 data_spatial.dta（含经纬度与人均GDP均值）在 Mata 现场构造5类权重矩阵，依次完成诊断检验、SDM(三种固定效应)、溢出范围、门槛/分区制、控制组溢出污染与 Moran 散点图。需安装 ssc install xsmle xthreg。运行前 cd 至 spatial 文件夹。</w:t>
      </w:r>
    </w:p>
    <w:p>
      <w:r>
        <w:rPr>
          <w:rFonts w:ascii="Times New Roman" w:hAnsi="Times New Roman" w:eastAsia="宋体"/>
          <w:b w:val="0"/>
          <w:color w:val="000000"/>
          <w:sz w:val="17"/>
        </w:rPr>
        <w:t>说明：SDM 由 Python(特征值集中似然)复现并交叉验证；成文数值以 Stata xsmle 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