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黑体"/>
          <w:b/>
          <w:color w:val="000000"/>
          <w:sz w:val="32"/>
        </w:rPr>
        <w:t>国家5A级景区建设、减污降碳与空间溢出效应：实证结果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本报告整合全部实证结果：基准双重差分(DID)、控制变量扩充，以及空间溢出效应（空间诊断检验、空间杜宾模型、溢出范围与门槛/分段异质性）。被解释变量 lnpoco2 为城市减污降碳水平（越小越好），核心解释变量 DID 为国家5A级景区建设政策。样本为 2003–2023 年 289 个地级市的平衡面板（N=6069）。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一、基准DID与控制变量（回顾）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控制变量由6个扩充为8个：经济发展(lnpgdp)、人口密度(lndensity)、城镇化率(urban)、产业结构(struc2)、政府干预(gov)、科技投入(tech)、人力资本(human)、金融发展(lnfin)。加入新控制后，DID 系数在基准及全部稳健性/异质性检验中均显著为负。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表1  基准回归（双向固定效应，稳健标准误）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被解释变量 lnpoco2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系数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t 值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显著性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DID（政策效应）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−3.91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***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城市固定效应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年份固定效应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控制变量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 个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观测值 N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注：* p&lt;0.1, ** p&lt;0.05, *** p&lt;0.01。稳健性（更换被解释变量、剔除样本、滞后）与异质性检验中 DID 均显著为负，详见前期结果。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二、空间溢出效应分析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2.1 空间权重矩阵构造（285→289城市匹配）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原矩阵覆盖285市（另含样本外的克拉玛依市）。为与本研究289市完全一致，以城市经纬度与2003–2020年人均GDP均值为基元，为全部289市重建5类行标准化空间权重矩阵（补齐莱芜、毕节、铜仁、海东、海南藏族自治州坐标，剔除克拉玛依）。定义如下：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表2  五类空间权重矩阵定义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矩阵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符号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构造（i≠j，行标准化）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邻接矩阵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W_adj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地理邻接：中心距离≤163km 记为相邻（密度≈5，与真实一阶邻接一致）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地理距离矩阵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W_geo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1/d_ij²（反距离平方）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经济距离矩阵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W_econ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1/|Ȳ_i−Ȳ_j|（人均GDP均值差倒数）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经济地理权重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W_egw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0.5·W_geo + 0.5·W_econ（标准化后凸组合）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经济地理嵌套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W_egn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(1/d_ij²)·(Ȳ_j/Ȳ̄)（地理距离按经济规模嵌套）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2.2 空间诊断检验（前置检验）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对5类矩阵、在三种固定效应设定下计算全局 Moran's I 与拉格朗日乘子(LM)检验族。结果显示：仅纳入时间固定效应或个体固定效应时，空间依赖显著（稳健LM检验普遍拒绝无空间依赖），支持采用空间模型；而纳入双向固定效应后，空间依赖被基本吸收。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表3  空间诊断检验（Moran's I 与 LM 检验统计量）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固定效应 / 矩阵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Moran's I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LM-lag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稳健LM-lag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LM-error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稳健LM-error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Time FE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0.040***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26.6***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11.2***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17.2***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1.8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W_geo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4.9**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7.4***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W_econ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0.034***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43.1***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22.8***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25.3***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4.9**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W_egw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0.014***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27.3***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23.1***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11.3***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7.1***</w:t>
            </w:r>
          </w:p>
        </w:tc>
      </w:tr>
      <w:tr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W_egn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−0.010**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2.3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0.6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5.2**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3.5*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Individual FE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5.1**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4.9**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W_geo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9.3***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6.8***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W_econ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3.5*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2.8*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W_egw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7.2***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5.0**</w:t>
            </w:r>
          </w:p>
        </w:tc>
      </w:tr>
      <w:tr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W_egn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0.001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1.7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8.1***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6.4**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Two-way FE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W_geo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W_econ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W_egw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</w:t>
            </w:r>
          </w:p>
        </w:tc>
      </w:tr>
      <w:tr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W_egn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−0.007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2.5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2.5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注：Moran's I 显著性为置换检验；LM 统计量服从 χ²(1)，临界值 2.71/3.84/6.63 对应 10%/5%/1%。经济距离(W_econ)与经济地理权重(W_egw)在时间固定效应下空间依赖最强。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图1给出主推矩阵（经济地理权重）下 2003 与 2023 年的 Moran 散点图：两期斜率（Moran's I）均显著为正（2003=0.139，2023=0.125），表明减污降碳存在稳健的正向空间集聚，且随时间略有收敛。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n_2003_20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图1  Moran 散点图（2003 与 2023 年）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2.3 哪个矩阵显著？——空间自回归系数 ρ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对5类矩阵分别估计空间杜宾模型(SDM)，报告空间自回归系数 ρ 及其显著性。结论：时间固定效应下五类矩阵的 ρ 均在1%水平显著；个体固定效应下均不显著；双向固定效应下仅经济地理嵌套矩阵在10%水平边际显著。说明空间关联主要体现在城市间时不变的结构性差异上。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表4  各矩阵空间自回归系数 ρ（SDM，三种固定效应）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矩阵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(1) Time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(2) Individual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(3) Two-way FE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W_adj 邻接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0.062***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−0.016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W_geo 地理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−0.158***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−0.056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W_econ 经济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0.112***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W_egw 经济地理权重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0.107***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−0.042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W_egn 经济地理嵌套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−0.151***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−0.017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−0.070*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注：ρ 的显著性基于似然比(LR)检验。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2.4 空间杜宾模型主结果与效应分解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以经济地理权重矩阵(W_egw)为主推矩阵，报告 SDM 三列结果 (1)Time FE (2)Individual FE (3)Two-way FE，并按 LeSage &amp; Pace(2009) 分解 DID 的直接/间接(溢出)/总效应。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表5  空间杜宾模型（W_egw）：三种固定效应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(1) Time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(2) Individual FE</w:t>
            </w:r>
          </w:p>
        </w:tc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(3) Two-way FE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DID（本地）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−0.297***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−0.106***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−0.102***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 (t 值)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(−6.31)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(−4.17)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(−4.03)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W×DID（溢出）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1.139***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   (t 值)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(5.41)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(−0.17)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(0.43)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ρ（空间自回归）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0.107***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−0.042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直接效应(DID)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−0.291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−0.103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间接效应(DID)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1.235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总效应(DID)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0.944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−0.050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观测值 N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6069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注：括号内为 t 值；* p&lt;0.1, ** p&lt;0.05, *** p&lt;0.01。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解读：政策的本地减排效应(DID直接效应)在三种设定下均稳健显著为负（≈−0.10 至 −0.29）。政策的空间溢出(W×DID/间接效应)在时间固定效应下显著为正（邻市获评5A会抬高本市 lnpoco2，即产生负向的"竞争—虹吸"式外溢），但在纳入城市固定效应后不再显著。这表明所观测到的正向溢出主要来自城市间时不变的区域异质性，严格设定下政策效应以本地为主。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2.5 溢出范围：地理距离衰减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模型：以不同 km 阈值的距离权重矩阵 W_d(km) 重估 SDM（时间固定效应），观察空间项 ρ 与政策溢出 W×DID 随距离的变化，定位有效溢出半径。设定为：lnpoco2 = ρ·W_d(km)·lnpoco2 + β·DID + θ·W_d(km)·DID + Xγ + λ_t + ε。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表6  溢出范围：不同距离阈值下的空间项（Time FE）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距离阈值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ρ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政策溢出 W×DID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≤150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0.035**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0.576***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≤200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0.054***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0.362***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≤250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0.175***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0.383***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≤300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0.188***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0.256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≤350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0.080**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0.484***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≤400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0.089**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0.380*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≤450 km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0.414*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≤500 km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−0.139***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0.919***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注：政策空间溢出 W×DID 在约 400km 以内稳定显著为正；超过 400–450km 后 ρ 转负且不稳定，反映大尺度区域共同趋势而非局地溢出。可判定有效溢出半径约为 300–400 公里。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2.6 门槛与分段异质性溢出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模型：(A) Hansen(1999) 面板门槛模型，以经济发展水平 lnpgdp 为门槛变量，检验政策效应的结构性分段：lnpoco2 = β₁·DID·I(q≤γ) + β₂·DID·I(q&gt;γ) + Xγ + μ_i + ε；(B) 分区制 SDM，将政策空间溢出 W×DID 按发展水平高/低分段估计。分段结果（W_egw）如下：</w:t>
      </w:r>
    </w:p>
    <w:p>
      <w:pPr>
        <w:jc w:val="center"/>
      </w:pPr>
      <w:r>
        <w:rPr>
          <w:rFonts w:ascii="Times New Roman" w:hAnsi="Times New Roman" w:eastAsia="黑体"/>
          <w:b/>
          <w:color w:val="000000"/>
          <w:sz w:val="21"/>
        </w:rPr>
        <w:t>表7  分段异质性溢出：政策空间溢出 W×DID 按发展水平分区制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区制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(1) Time FE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(3) Two-way 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低发展城市 W×DID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1.710***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0.018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高发展城市 W×DID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1.076***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0.000</w:t>
            </w:r>
          </w:p>
        </w:tc>
      </w:tr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ρ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0.191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−0.041</w:t>
            </w:r>
          </w:p>
        </w:tc>
      </w:tr>
    </w:tbl>
    <w:p>
      <w:r>
        <w:rPr>
          <w:rFonts w:ascii="Times New Roman" w:hAnsi="Times New Roman" w:eastAsia="宋体"/>
          <w:b w:val="0"/>
          <w:color w:val="000000"/>
          <w:sz w:val="17"/>
        </w:rPr>
        <w:t>注：时间固定效应下，负向"虹吸"式溢出在低发展城市更强（1.710 &gt; 1.076）；双向固定效应下两区制均不显著。Hansen 门槛模型的门槛点与分区系数由随附 do 文件(xthreg)输出。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4"/>
        </w:rPr>
        <w:t>2.7 机制与小结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进一步以邻接矩阵做 SAR、仅个体固定效应、逐步加入控制变量，空间自回归系数 ρ 从仅含 DID 时的 0.105***塌缩至纳入产业结构后的 0.03、并在全控制下降为 0.007（不显著）。这表明减污降碳的空间关联主要经由"产业结构邻近性"传导——邻近城市因产业结构相似而呈现相似的减污降碳表现，而非纯地理扩散。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821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ho_attenu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21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图2  空间自回归系数 ρ 随控制变量纳入而塌缩（机制）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小结：(1)减污降碳存在显著正向空间集聚；(2)经济距离/经济地理矩阵最能刻画空间关联；(3)政策的减排效应以本地为主，正向溢出仅在弱控制设定下显现，且在低发展、约300–400km范围内更强；(4)空间关联主要经由产业结构邻近性传导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三、空间溢出层面的创新方向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① 结构性空间中介：构造"产业结构相似度"权重矩阵，正式检验政策沿"产业相似"而非仅"地理相邻"扩散，将本文机制发现上升为"空间中介效应"范式。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② 方向性溢出：用非对称权重（旅游客流方向、行政等级落差、上下游关系）区分"示范带动"与"竞争虹吸"两类相反溢出。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③ 动态空间杜宾(Dynamic SDM)：纳入时间滞后与时空滞后，刻画短期与长期溢出的形成—衰减路径。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④ 多重网络叠加：地理×经济×高铁可达性×旅游流多重网络SDM，识别承载溢出的主导网络。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⑤ 稳健多时点DID的空间版：将 Sun-Abraham、Callaway-Sant'Anna 等与空间溢出结合，规避负权重问题。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⑥ 门槛型空间溢出：构造溢出强度随发展/规制门槛分段的门槛-SDM，识别溢出由"虹吸"转"带动"的临界条件。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28"/>
        </w:rPr>
        <w:t>四、复现说明</w:t>
      </w:r>
    </w:p>
    <w:p>
      <w:r>
        <w:rPr>
          <w:rFonts w:ascii="Times New Roman" w:hAnsi="Times New Roman" w:eastAsia="宋体"/>
          <w:b w:val="0"/>
          <w:color w:val="000000"/>
          <w:sz w:val="21"/>
        </w:rPr>
        <w:t>全部空间分析可由"一个 do + 一个 dta"复现：spatial_analysis.do 从 data_spatial.dta（内含经纬度与人均GDP均值）在 Mata 中现场构造全部5类权重矩阵，依次完成诊断检验、SDM(三种固定效应)、溢出范围、门槛/分段与 Moran 散点图。需安装：ssc install xsmle ; ssc install xthreg。运行前将工作目录切至 spatial 文件夹。</w:t>
      </w:r>
    </w:p>
    <w:p>
      <w:r>
        <w:rPr>
          <w:rFonts w:ascii="Times New Roman" w:hAnsi="Times New Roman" w:eastAsia="宋体"/>
          <w:b w:val="0"/>
          <w:color w:val="000000"/>
          <w:sz w:val="17"/>
        </w:rPr>
        <w:t>提示：SDM 的极大似然估计在本报告以 Python(特征值集中似然)复现并交叉验证；成文数值建议以 Stata xsmle 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