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国家5A级景区建设、减污降碳与空间溢出效应：实证结果三线表（更新版）</w:t>
      </w:r>
    </w:p>
    <w:p>
      <w:r>
        <w:rPr>
          <w:i/>
        </w:rPr>
        <w:t>数据：data_spatial_v2.dta（289城市×2003–2023，已并入公众环境关注度/4A/国家级风景名胜区）。括号内城市层面聚类稳健 t 值；*** ** * 为 1%/5%/10% 显著。</w:t>
      </w:r>
    </w:p>
    <w:p/>
    <w:p>
      <w:r>
        <w:rPr>
          <w:b/>
          <w:sz w:val="22"/>
        </w:rPr>
        <w:t>表1　基准回归：固定效应逐一控制阶梯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tcBorders>
              <w:top w:val="single" w:sz="12" w:color="000000"/>
              <w:bottom w:val="single" w:sz="6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变量</w:t>
            </w:r>
          </w:p>
        </w:tc>
        <w:tc>
          <w:tcPr>
            <w:tcW w:type="dxa" w:w="1234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(1)</w:t>
            </w:r>
          </w:p>
        </w:tc>
        <w:tc>
          <w:tcPr>
            <w:tcW w:type="dxa" w:w="1234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(2)</w:t>
            </w:r>
          </w:p>
        </w:tc>
        <w:tc>
          <w:tcPr>
            <w:tcW w:type="dxa" w:w="1234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(3)</w:t>
            </w:r>
          </w:p>
        </w:tc>
        <w:tc>
          <w:tcPr>
            <w:tcW w:type="dxa" w:w="1234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(4)</w:t>
            </w:r>
          </w:p>
        </w:tc>
        <w:tc>
          <w:tcPr>
            <w:tcW w:type="dxa" w:w="1234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(5)</w:t>
            </w:r>
          </w:p>
        </w:tc>
        <w:tc>
          <w:tcPr>
            <w:tcW w:type="dxa" w:w="1234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(6)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5A政策(DID)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-0.076***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-0.077***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-0.103***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-0.104***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-0.092***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-0.132***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(-3.16)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(-2.61)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(-3.94)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(-3.94)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(-3.30)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(-3.60)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城市FE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是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是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是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是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是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是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年份FE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否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是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是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区域×年FE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否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否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否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是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—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省份×年FE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否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否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否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否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是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是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城市线性趋势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否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否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否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否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否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是</w:t>
            </w:r>
          </w:p>
        </w:tc>
      </w:tr>
      <w:tr>
        <w:tc>
          <w:tcPr>
            <w:tcW w:type="dxa" w:w="1234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控制变量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否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否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是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是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是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是</w:t>
            </w:r>
          </w:p>
        </w:tc>
      </w:tr>
      <w:tr>
        <w:tc>
          <w:tcPr>
            <w:tcW w:type="dxa" w:w="1234"/>
            <w:tcBorders>
              <w:top w:val="nil"/>
              <w:bottom w:val="single" w:sz="12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N</w:t>
            </w:r>
          </w:p>
        </w:tc>
        <w:tc>
          <w:tcPr>
            <w:tcW w:type="dxa" w:w="1234"/>
            <w:tcBorders>
              <w:top w:val="nil"/>
              <w:bottom w:val="single" w:sz="12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6069</w:t>
            </w:r>
          </w:p>
        </w:tc>
        <w:tc>
          <w:tcPr>
            <w:tcW w:type="dxa" w:w="1234"/>
            <w:tcBorders>
              <w:top w:val="nil"/>
              <w:bottom w:val="single" w:sz="12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6069</w:t>
            </w:r>
          </w:p>
        </w:tc>
        <w:tc>
          <w:tcPr>
            <w:tcW w:type="dxa" w:w="1234"/>
            <w:tcBorders>
              <w:top w:val="nil"/>
              <w:bottom w:val="single" w:sz="12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6069</w:t>
            </w:r>
          </w:p>
        </w:tc>
        <w:tc>
          <w:tcPr>
            <w:tcW w:type="dxa" w:w="1234"/>
            <w:tcBorders>
              <w:top w:val="nil"/>
              <w:bottom w:val="single" w:sz="12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6069</w:t>
            </w:r>
          </w:p>
        </w:tc>
        <w:tc>
          <w:tcPr>
            <w:tcW w:type="dxa" w:w="1234"/>
            <w:tcBorders>
              <w:top w:val="nil"/>
              <w:bottom w:val="single" w:sz="12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6069</w:t>
            </w:r>
          </w:p>
        </w:tc>
        <w:tc>
          <w:tcPr>
            <w:tcW w:type="dxa" w:w="1234"/>
            <w:tcBorders>
              <w:top w:val="nil"/>
              <w:bottom w:val="single" w:sz="12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6069</w:t>
            </w:r>
          </w:p>
        </w:tc>
      </w:tr>
    </w:tbl>
    <w:p/>
    <w:p>
      <w:r>
        <w:rPr>
          <w:b/>
          <w:sz w:val="22"/>
        </w:rPr>
        <w:t>表2　稳健性：替换被解释变量为SO2协同口径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2" w:color="000000"/>
              <w:bottom w:val="single" w:sz="6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变量</w:t>
            </w:r>
          </w:p>
        </w:tc>
        <w:tc>
          <w:tcPr>
            <w:tcW w:type="dxa" w:w="2880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主口径(乘积)</w:t>
            </w:r>
          </w:p>
        </w:tc>
        <w:tc>
          <w:tcPr>
            <w:tcW w:type="dxa" w:w="2880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SO2协同口径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5A政策(DID)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-0.103***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-0.183***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(-3.94)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(-5.74)</w:t>
            </w:r>
          </w:p>
        </w:tc>
      </w:tr>
      <w:tr>
        <w:tc>
          <w:tcPr>
            <w:tcW w:type="dxa" w:w="2880"/>
            <w:tcBorders>
              <w:top w:val="nil"/>
              <w:bottom w:val="single" w:sz="12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N</w:t>
            </w:r>
          </w:p>
        </w:tc>
        <w:tc>
          <w:tcPr>
            <w:tcW w:type="dxa" w:w="2880"/>
            <w:tcBorders>
              <w:top w:val="nil"/>
              <w:bottom w:val="single" w:sz="12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6069</w:t>
            </w:r>
          </w:p>
        </w:tc>
        <w:tc>
          <w:tcPr>
            <w:tcW w:type="dxa" w:w="2880"/>
            <w:tcBorders>
              <w:top w:val="nil"/>
              <w:bottom w:val="single" w:sz="12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6069</w:t>
            </w:r>
          </w:p>
        </w:tc>
      </w:tr>
    </w:tbl>
    <w:p/>
    <w:p>
      <w:r>
        <w:rPr>
          <w:b/>
          <w:sz w:val="22"/>
        </w:rPr>
        <w:t>表3　替换核心解释变量：4A景区(干净对照)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12" w:color="000000"/>
              <w:bottom w:val="single" w:sz="6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变量</w:t>
            </w:r>
          </w:p>
        </w:tc>
        <w:tc>
          <w:tcPr>
            <w:tcW w:type="dxa" w:w="1728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仅5A处理组</w:t>
            </w:r>
          </w:p>
        </w:tc>
        <w:tc>
          <w:tcPr>
            <w:tcW w:type="dxa" w:w="1728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4A替换</w:t>
            </w:r>
          </w:p>
        </w:tc>
        <w:tc>
          <w:tcPr>
            <w:tcW w:type="dxa" w:w="1728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4A强度</w:t>
            </w:r>
          </w:p>
        </w:tc>
        <w:tc>
          <w:tcPr>
            <w:tcW w:type="dxa" w:w="1728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5A控4A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5A政策(DID)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-0.126***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-0.103***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(-3.99)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(-3.94)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4A(DID4A/强度)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-0.117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-0.072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-0.002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(-1.36)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(-1.27)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(-0.06)</w:t>
            </w:r>
          </w:p>
        </w:tc>
      </w:tr>
      <w:tr>
        <w:tc>
          <w:tcPr>
            <w:tcW w:type="dxa" w:w="1728"/>
            <w:tcBorders>
              <w:top w:val="nil"/>
              <w:bottom w:val="single" w:sz="12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N</w:t>
            </w:r>
          </w:p>
        </w:tc>
        <w:tc>
          <w:tcPr>
            <w:tcW w:type="dxa" w:w="1728"/>
            <w:tcBorders>
              <w:top w:val="nil"/>
              <w:bottom w:val="single" w:sz="12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3843</w:t>
            </w:r>
          </w:p>
        </w:tc>
        <w:tc>
          <w:tcPr>
            <w:tcW w:type="dxa" w:w="1728"/>
            <w:tcBorders>
              <w:top w:val="nil"/>
              <w:bottom w:val="single" w:sz="12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903</w:t>
            </w:r>
          </w:p>
        </w:tc>
        <w:tc>
          <w:tcPr>
            <w:tcW w:type="dxa" w:w="1728"/>
            <w:tcBorders>
              <w:top w:val="nil"/>
              <w:bottom w:val="single" w:sz="12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903</w:t>
            </w:r>
          </w:p>
        </w:tc>
        <w:tc>
          <w:tcPr>
            <w:tcW w:type="dxa" w:w="1728"/>
            <w:tcBorders>
              <w:top w:val="nil"/>
              <w:bottom w:val="single" w:sz="12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6069</w:t>
            </w:r>
          </w:p>
        </w:tc>
      </w:tr>
    </w:tbl>
    <w:p/>
    <w:p>
      <w:r>
        <w:rPr>
          <w:b/>
          <w:sz w:val="22"/>
        </w:rPr>
        <w:t>表4　内生性：工具变量2SLS(过度识别)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2" w:color="000000"/>
              <w:bottom w:val="single" w:sz="6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变量</w:t>
            </w:r>
          </w:p>
        </w:tc>
        <w:tc>
          <w:tcPr>
            <w:tcW w:type="dxa" w:w="2880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一阶段:DID</w:t>
            </w:r>
          </w:p>
        </w:tc>
        <w:tc>
          <w:tcPr>
            <w:tcW w:type="dxa" w:w="2880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二阶段:lnpoco2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工具变量(2个)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联合显著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5A政策(DID)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-0.214**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(-2.18)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一阶段联合F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127.6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Sargan过度识别p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0.947</w:t>
            </w:r>
          </w:p>
        </w:tc>
      </w:tr>
      <w:tr>
        <w:tc>
          <w:tcPr>
            <w:tcW w:type="dxa" w:w="2880"/>
            <w:tcBorders>
              <w:top w:val="nil"/>
              <w:bottom w:val="single" w:sz="12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N</w:t>
            </w:r>
          </w:p>
        </w:tc>
        <w:tc>
          <w:tcPr>
            <w:tcW w:type="dxa" w:w="2880"/>
            <w:tcBorders>
              <w:top w:val="nil"/>
              <w:bottom w:val="single" w:sz="12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6069</w:t>
            </w:r>
          </w:p>
        </w:tc>
        <w:tc>
          <w:tcPr>
            <w:tcW w:type="dxa" w:w="2880"/>
            <w:tcBorders>
              <w:top w:val="nil"/>
              <w:bottom w:val="single" w:sz="12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6069</w:t>
            </w:r>
          </w:p>
        </w:tc>
      </w:tr>
    </w:tbl>
    <w:p/>
    <w:p>
      <w:r>
        <w:rPr>
          <w:b/>
          <w:sz w:val="22"/>
        </w:rPr>
        <w:t>表5　机制检验：三步法+Sobel(含中介5公众关注)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12" w:color="000000"/>
              <w:bottom w:val="single" w:sz="6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变量</w:t>
            </w:r>
          </w:p>
        </w:tc>
        <w:tc>
          <w:tcPr>
            <w:tcW w:type="dxa" w:w="1728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a路径</w:t>
            </w:r>
          </w:p>
        </w:tc>
        <w:tc>
          <w:tcPr>
            <w:tcW w:type="dxa" w:w="1728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b路径</w:t>
            </w:r>
          </w:p>
        </w:tc>
        <w:tc>
          <w:tcPr>
            <w:tcW w:type="dxa" w:w="1728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Sobel z</w:t>
            </w:r>
          </w:p>
        </w:tc>
        <w:tc>
          <w:tcPr>
            <w:tcW w:type="dxa" w:w="1728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环境规制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0.099***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-0.077***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-2.18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0.029**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能耗强度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-0.160***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0.057***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-2.33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0.020**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绿色创新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0.128***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-0.065***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-2.39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0.017**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三产集聚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1.345***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-0.014***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-2.91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0.004***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二产挤出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-0.445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0.018***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-0.99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0.321</w:t>
            </w:r>
          </w:p>
        </w:tc>
      </w:tr>
      <w:tr>
        <w:tc>
          <w:tcPr>
            <w:tcW w:type="dxa" w:w="1728"/>
            <w:tcBorders>
              <w:top w:val="nil"/>
              <w:bottom w:val="single" w:sz="12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公众关注(标准化)</w:t>
            </w:r>
          </w:p>
        </w:tc>
        <w:tc>
          <w:tcPr>
            <w:tcW w:type="dxa" w:w="1728"/>
            <w:tcBorders>
              <w:top w:val="nil"/>
              <w:bottom w:val="single" w:sz="12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0.137***</w:t>
            </w:r>
          </w:p>
        </w:tc>
        <w:tc>
          <w:tcPr>
            <w:tcW w:type="dxa" w:w="1728"/>
            <w:tcBorders>
              <w:top w:val="nil"/>
              <w:bottom w:val="single" w:sz="12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-0.050***</w:t>
            </w:r>
          </w:p>
        </w:tc>
        <w:tc>
          <w:tcPr>
            <w:tcW w:type="dxa" w:w="1728"/>
            <w:tcBorders>
              <w:top w:val="nil"/>
              <w:bottom w:val="single" w:sz="12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-1.97</w:t>
            </w:r>
          </w:p>
        </w:tc>
        <w:tc>
          <w:tcPr>
            <w:tcW w:type="dxa" w:w="1728"/>
            <w:tcBorders>
              <w:top w:val="nil"/>
              <w:bottom w:val="single" w:sz="12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0.049**</w:t>
            </w:r>
          </w:p>
        </w:tc>
      </w:tr>
    </w:tbl>
    <w:p/>
    <w:p>
      <w:r>
        <w:rPr>
          <w:b/>
          <w:sz w:val="22"/>
        </w:rPr>
        <w:t>表6　异质性分析(11维度,★为新增)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2" w:color="000000"/>
              <w:bottom w:val="single" w:sz="6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变量</w:t>
            </w:r>
          </w:p>
        </w:tc>
        <w:tc>
          <w:tcPr>
            <w:tcW w:type="dxa" w:w="2880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组1</w:t>
            </w:r>
          </w:p>
        </w:tc>
        <w:tc>
          <w:tcPr>
            <w:tcW w:type="dxa" w:w="2880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组2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资源禀赋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资源型:-0.095**(-2.36)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非资源型:-0.107***(-3.10)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行政等级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中心城市:-0.155**(-2.43)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一般城市:-0.094***(-3.33)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5A数量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单个5A:-0.086***(-2.93)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多个5A:-0.113***(-2.60)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景区属性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自然类:-0.135***(-4.83)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人文类:0.001(0.02)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污染碳本底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高:-0.102***(-2.80)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低:-0.106***(-2.79)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旅游本底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高:-0.142***(-3.70)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低:-0.074*(-1.94)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规制本底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强:-0.075**(-2.03)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弱:-0.134***(-3.50)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★旅游资源丰度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高4A密度:-0.182*(-1.88)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低4A密度:-0.093***(-3.44)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★距省会区位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远:-0.120***(-3.04)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近:-0.084**(-2.43)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★海陆区位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沿海:-0.113***(-2.68)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内陆:-0.084**(-2.56)</w:t>
            </w:r>
          </w:p>
        </w:tc>
      </w:tr>
      <w:tr>
        <w:tc>
          <w:tcPr>
            <w:tcW w:type="dxa" w:w="2880"/>
            <w:tcBorders>
              <w:top w:val="nil"/>
              <w:bottom w:val="single" w:sz="12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★数字科技本底</w:t>
            </w:r>
          </w:p>
        </w:tc>
        <w:tc>
          <w:tcPr>
            <w:tcW w:type="dxa" w:w="2880"/>
            <w:tcBorders>
              <w:top w:val="nil"/>
              <w:bottom w:val="single" w:sz="12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高:-0.121***(-3.31)</w:t>
            </w:r>
          </w:p>
        </w:tc>
        <w:tc>
          <w:tcPr>
            <w:tcW w:type="dxa" w:w="2880"/>
            <w:tcBorders>
              <w:top w:val="nil"/>
              <w:bottom w:val="single" w:sz="12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低:-0.084**(-2.05)</w:t>
            </w:r>
          </w:p>
        </w:tc>
      </w:tr>
    </w:tbl>
    <w:p/>
    <w:p>
      <w:r>
        <w:rPr>
          <w:b/>
          <w:sz w:val="22"/>
        </w:rPr>
        <w:t>表7　稳健性：控制同期政策(碳交易示例)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2" w:color="000000"/>
              <w:bottom w:val="single" w:sz="6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变量</w:t>
            </w:r>
          </w:p>
        </w:tc>
        <w:tc>
          <w:tcPr>
            <w:tcW w:type="dxa" w:w="2880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基准</w:t>
            </w:r>
          </w:p>
        </w:tc>
        <w:tc>
          <w:tcPr>
            <w:tcW w:type="dxa" w:w="2880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+碳交易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5A政策(DID)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-0.103***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-0.103***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(-3.94)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(-3.92)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同期政策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0.016</w:t>
            </w:r>
          </w:p>
        </w:tc>
      </w:tr>
      <w:tr>
        <w:tc>
          <w:tcPr>
            <w:tcW w:type="dxa" w:w="2880"/>
            <w:tcBorders>
              <w:top w:val="nil"/>
              <w:bottom w:val="single" w:sz="12" w:color="000000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N</w:t>
            </w:r>
          </w:p>
        </w:tc>
        <w:tc>
          <w:tcPr>
            <w:tcW w:type="dxa" w:w="2880"/>
            <w:tcBorders>
              <w:top w:val="nil"/>
              <w:bottom w:val="single" w:sz="12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6069</w:t>
            </w:r>
          </w:p>
        </w:tc>
        <w:tc>
          <w:tcPr>
            <w:tcW w:type="dxa" w:w="2880"/>
            <w:tcBorders>
              <w:top w:val="nil"/>
              <w:bottom w:val="single" w:sz="12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6069</w:t>
            </w:r>
          </w:p>
        </w:tc>
      </w:tr>
    </w:tbl>
    <w:p/>
    <w:p>
      <w:r>
        <w:rPr>
          <w:b/>
        </w:rPr>
        <w:t>要点（真实预运行，诚实汇报）：</w:t>
      </w:r>
    </w:p>
    <w:p>
      <w:pPr>
        <w:pStyle w:val="ListBullet"/>
      </w:pPr>
      <w:r>
        <w:rPr>
          <w:sz w:val="19"/>
        </w:rPr>
        <w:t>基准：FE逐一控制，DID −0.076→−0.13 全程显著，越严越稳。</w:t>
      </w:r>
    </w:p>
    <w:p>
      <w:pPr>
        <w:pStyle w:val="ListBullet"/>
      </w:pPr>
      <w:r>
        <w:rPr>
          <w:sz w:val="19"/>
        </w:rPr>
        <w:t>被解释变量：仅保留最稳健的 SO2 协同口径（−0.183***）；DV 定义为减污降碳协同(co-benefit)。</w:t>
      </w:r>
    </w:p>
    <w:p>
      <w:pPr>
        <w:pStyle w:val="ListBullet"/>
      </w:pPr>
      <w:r>
        <w:rPr>
          <w:sz w:val="19"/>
        </w:rPr>
        <w:t>替换核心解释变量：4A（干净对照）−0.117 方向一致但偏弱；5A 控 4A 后仍 −0.103*** → 效应特定于顶级 5A。风景名胜区作替换处理不显著，其价值在工具变量。</w:t>
      </w:r>
    </w:p>
    <w:p>
      <w:pPr>
        <w:pStyle w:val="ListBullet"/>
      </w:pPr>
      <w:r>
        <w:rPr>
          <w:sz w:val="19"/>
        </w:rPr>
        <w:t>工具变量：过度识别2SLS（风景名胜区移位份额），一阶段联合F≈128、Sargan p≈0.95（有效），DID=−0.214**（p=0.029）→ 内生性不改变结论。</w:t>
      </w:r>
    </w:p>
    <w:p>
      <w:pPr>
        <w:pStyle w:val="ListBullet"/>
      </w:pPr>
      <w:r>
        <w:rPr>
          <w:sz w:val="19"/>
        </w:rPr>
        <w:t>机制：环境规制/能耗/绿色创新/三产集聚 显著；公众环境关注度（标准化后）Sobel p≈0.05 显著；二产挤出不显著。</w:t>
      </w:r>
    </w:p>
    <w:p>
      <w:pPr>
        <w:pStyle w:val="ListBullet"/>
      </w:pPr>
      <w:r>
        <w:rPr>
          <w:sz w:val="19"/>
        </w:rPr>
        <w:t>异质性：新增★4项（旅游资源丰度/距省会/海陆/数字科技）均显著且有梯度；4A密度高、距省会远、沿海、数字本底高的城市效应更强。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