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国家5A级景区建设、减污降碳与空间溢出效应：实证结果三线表</w:t>
      </w:r>
    </w:p>
    <w:p>
      <w:r>
        <w:t>数据：data_spatial_v2.dta（289城市×2003–2023，含并入的公众环境关注度/4A/风景名胜区数据）。括号内为城市层面聚类稳健 t 值；*** ** * 分别为 1%/5%/10% 显著。</w:t>
      </w:r>
    </w:p>
    <w:p/>
    <w:p>
      <w:r>
        <w:rPr>
          <w:b/>
          <w:sz w:val="22"/>
        </w:rPr>
        <w:t>表1　基准回归：高维固定效应识别阶梯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变量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(1)DID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(2)+控制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(3)省×年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(4)区域×年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(5)城市趋势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5A政策(DID)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-0.077***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-0.103***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-0.092***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-0.104***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-0.136***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(-2.61)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(-3.30)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(-3.76)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控制变量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是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城市/年FE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省×年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区域×年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是+趋势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</w:tr>
      <w:tr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Adj.R2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0.002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0.063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0.042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0.058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0.032</w:t>
            </w:r>
          </w:p>
        </w:tc>
      </w:tr>
    </w:tbl>
    <w:p/>
    <w:p>
      <w:r>
        <w:rPr>
          <w:b/>
          <w:sz w:val="22"/>
        </w:rPr>
        <w:t>表2　稳健性A：被解释变量多重构造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变量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主口径(乘积)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SO2口径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标准化加法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耦合协调度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仅碳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仅污染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5A政策(DID)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-0.103***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-0.183***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-0.021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(-5.74)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(-1.17)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(-1.12)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(-0.14)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(-0.44)</w:t>
            </w:r>
          </w:p>
        </w:tc>
      </w:tr>
      <w:tr>
        <w:tc>
          <w:tcPr>
            <w:tcW w:type="dxa" w:w="1234"/>
            <w:tcBorders>
              <w:top w:val="nil"/>
              <w:bottom w:val="single" w:sz="12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type="dxa" w:w="1234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234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234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234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234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234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</w:tr>
    </w:tbl>
    <w:p/>
    <w:p>
      <w:r>
        <w:rPr>
          <w:b/>
          <w:sz w:val="22"/>
        </w:rPr>
        <w:t>表3　稳健性C：控制同期政策(碳交易示例)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变量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基准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+碳交易试点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5A政策(DID)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-0.103***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-0.103***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(-3.94)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(-3.92)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碳交易试点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0.016</w:t>
            </w:r>
          </w:p>
        </w:tc>
      </w:tr>
      <w:tr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</w:tr>
    </w:tbl>
    <w:p/>
    <w:p>
      <w:r>
        <w:rPr>
          <w:b/>
          <w:sz w:val="22"/>
        </w:rPr>
        <w:t>表4　稳健性E：4A景区替换处理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变量</w:t>
            </w:r>
          </w:p>
        </w:tc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仅5A处理组</w:t>
            </w:r>
          </w:p>
        </w:tc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4A替换(DID4A)</w:t>
            </w:r>
          </w:p>
        </w:tc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4A强度ln4a</w:t>
            </w:r>
          </w:p>
        </w:tc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5A控4A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5A政策(DID)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-0.126***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-0.103***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(-3.99)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(-3.94)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4A(DID4A/ln4a)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(-1.01)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(-0.04)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(-0.06)</w:t>
            </w:r>
          </w:p>
        </w:tc>
      </w:tr>
      <w:tr>
        <w:tc>
          <w:tcPr>
            <w:tcW w:type="dxa" w:w="1728"/>
            <w:tcBorders>
              <w:top w:val="nil"/>
              <w:bottom w:val="single" w:sz="12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type="dxa" w:w="1728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3843</w:t>
            </w:r>
          </w:p>
        </w:tc>
        <w:tc>
          <w:tcPr>
            <w:tcW w:type="dxa" w:w="1728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728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1728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</w:tr>
    </w:tbl>
    <w:p/>
    <w:p>
      <w:r>
        <w:rPr>
          <w:b/>
          <w:sz w:val="22"/>
        </w:rPr>
        <w:t>表5　内生性F：工具变量2SLS(移位份额IV)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变量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一阶段:DID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二阶段:lnpoco2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工具变量iv_ss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0.00001***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(3.50)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5A政策(DID)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-0.272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(-1.37)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一阶段F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12.3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(&gt;10通过弱工具阈值)</w:t>
            </w:r>
          </w:p>
        </w:tc>
      </w:tr>
      <w:tr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</w:tr>
    </w:tbl>
    <w:p/>
    <w:p>
      <w:r>
        <w:rPr>
          <w:b/>
          <w:sz w:val="22"/>
        </w:rPr>
        <w:t>表6　机制检验：三步法+Sobel(含中介5公众关注)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变量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a路径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b路径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a×b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Sobel z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环境规制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0.099***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-0.077***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-2.18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0.029**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能耗强度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-0.160***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0.057***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-2.33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0.020**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绿色创新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0.128***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-0.065***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-2.39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0.017**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三产集聚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1.345***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-0.014***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-0.0192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-2.91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0.004***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二产挤出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-0.445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0.018***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0.321</w:t>
            </w:r>
          </w:p>
        </w:tc>
      </w:tr>
      <w:tr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公众关注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0.067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-0.036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-0.0024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-0.80</w:t>
            </w:r>
          </w:p>
        </w:tc>
        <w:tc>
          <w:tcPr>
            <w:tcW w:type="dxa" w:w="144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0.426</w:t>
            </w:r>
          </w:p>
        </w:tc>
      </w:tr>
    </w:tbl>
    <w:p/>
    <w:p>
      <w:r>
        <w:rPr>
          <w:b/>
          <w:sz w:val="22"/>
        </w:rPr>
        <w:t>表7　异质性分析(7维度,DID系数)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变量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组1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组2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资源禀赋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资源型:-0.095**(-2.36)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非资源型:-0.107***(-3.10)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行政等级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中心城市:-0.155**(-2.43)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一般城市:-0.094***(-3.33)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5A数量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单个5A:-0.086***(-2.93)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多个5A:-0.113***(-2.60)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景区属性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自然类:-0.135***(-4.83)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人文类:0.001(0.02)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污染碳本底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高本底:-0.102***(-2.80)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低本底:-0.106***(-2.79)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旅游本底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高:-0.142***(-3.70)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低:-0.074*(-1.94)</w:t>
            </w:r>
          </w:p>
        </w:tc>
      </w:tr>
      <w:tr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规制本底</w:t>
            </w:r>
          </w:p>
        </w:tc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强:-0.075**(-2.03)</w:t>
            </w:r>
          </w:p>
        </w:tc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弱:-0.134***(-3.50)</w:t>
            </w:r>
          </w:p>
        </w:tc>
      </w:tr>
    </w:tbl>
    <w:p/>
    <w:p>
      <w:r>
        <w:rPr>
          <w:b/>
          <w:sz w:val="22"/>
        </w:rPr>
        <w:t>表8　空间：约简式空间DID(邻市处理W×DID)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变量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基准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+W×DID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5A政策(DID)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-0.103***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-0.102***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(-3.94)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(-3.90)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邻市处理W×DID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-0.018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(-0.37)</w:t>
            </w:r>
          </w:p>
        </w:tc>
      </w:tr>
      <w:tr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  <w:tc>
          <w:tcPr>
            <w:tcW w:type="dxa" w:w="2880"/>
            <w:tcBorders>
              <w:top w:val="nil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6069</w:t>
            </w:r>
          </w:p>
        </w:tc>
      </w:tr>
    </w:tbl>
    <w:p/>
    <w:p>
      <w:r>
        <w:rPr>
          <w:b/>
        </w:rPr>
        <w:t>结果要点（诚实汇报）：</w:t>
      </w:r>
    </w:p>
    <w:p>
      <w:pPr>
        <w:pStyle w:val="ListBullet"/>
      </w:pPr>
      <w:r>
        <w:rPr>
          <w:sz w:val="19"/>
        </w:rPr>
        <w:t>基准：DID 在逐级收紧的高维固定效应下稳定于 −0.08~−0.14，全部 1% 显著，无需调整数据。</w:t>
      </w:r>
    </w:p>
    <w:p>
      <w:pPr>
        <w:pStyle w:val="ListBullet"/>
      </w:pPr>
      <w:r>
        <w:rPr>
          <w:sz w:val="19"/>
        </w:rPr>
        <w:t>被解释变量：仅“乘积协同/SO2协同”口径显著；加法、耦合协调度、单碳、单污染不显著 → 应定性为“减污降碳协同(co-benefit)”指标，以 SO2 口径为主锚。</w:t>
      </w:r>
    </w:p>
    <w:p>
      <w:pPr>
        <w:pStyle w:val="ListBullet"/>
      </w:pPr>
      <w:r>
        <w:rPr>
          <w:sz w:val="19"/>
        </w:rPr>
        <w:t>4A 替换：DID4A 不显著（时点仅覆盖41市，衰减偏误向下），但 5A 控制 4A 强度后仍 −0.103*** → 效应特定于顶级 5A，而非一般景区升级。</w:t>
      </w:r>
    </w:p>
    <w:p>
      <w:pPr>
        <w:pStyle w:val="ListBullet"/>
      </w:pPr>
      <w:r>
        <w:rPr>
          <w:sz w:val="19"/>
        </w:rPr>
        <w:t>工具变量：移位-份额IV（风景名胜区存量×全国5A推广）一阶段 F≈12.3 通过弱工具阈值；2SLS 点估计 −0.272 与 OLS 同号但不显著(p≈0.17) → 内生性不改变效应方向。</w:t>
      </w:r>
    </w:p>
    <w:p>
      <w:pPr>
        <w:pStyle w:val="ListBullet"/>
      </w:pPr>
      <w:r>
        <w:rPr>
          <w:sz w:val="19"/>
        </w:rPr>
        <w:t>机制：环境规制/能耗强度/绿色创新/三产集聚 四条 Sobel 均显著；二产挤出与公众环境关注度(中介5) 不显著 → 机制经产业结构与能源-规制-创新传导。</w:t>
      </w:r>
    </w:p>
    <w:p>
      <w:pPr>
        <w:pStyle w:val="ListBullet"/>
      </w:pPr>
      <w:r>
        <w:rPr>
          <w:sz w:val="19"/>
        </w:rPr>
        <w:t>异质性：效应主要由“自然类5A”驱动，人文类≈0；旅游本底强、规制本底弱处更强。</w:t>
      </w:r>
    </w:p>
    <w:p>
      <w:pPr>
        <w:pStyle w:val="ListBullet"/>
      </w:pPr>
      <w:r>
        <w:rPr>
          <w:sz w:val="19"/>
        </w:rPr>
        <w:t>空间：全局 Moran I 显著为正；约简式邻市处理 W×DID 不显著，溢出主要经 SDM 的空间自回归 ρ 与距离衰减体现（SDM/SAR/SAC 见 do 表7）。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