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国家5A级景区建设、减污降碳与空间溢出效应：完整实证结果</w:t>
      </w:r>
    </w:p>
    <w:p>
      <w:r>
        <w:rPr>
          <w:sz w:val="18"/>
        </w:rPr>
        <w:t>数据：289个地级市 × 2003–2023年（N=6069）。所有回归系数与 t 值均保留三位小数，括号内为城市层面聚类稳健 t 值；***、**、* 分别表示在 1%、5%、10% 水平显著。</w:t>
      </w:r>
    </w:p>
    <w:p>
      <w:r>
        <w:rPr>
          <w:b/>
          <w:sz w:val="21"/>
        </w:rPr>
        <w:t>表1  描述性统计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N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均值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标准差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最小值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中位数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最大值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lnpoco2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4.113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1.797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-2.284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4.172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9.792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0.331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0.470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1.000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经济发展(lnpgdp)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10.344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0.817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8.324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10.443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11.938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人口密度(lndensity)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5.704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0.967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2.940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5.766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7.976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城镇化(urban)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0.513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0.173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0.163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0.502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0.946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第二产业(struc2)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0.436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0.171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0.437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0.713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政府干预(gov)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0.184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0.158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0.588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科技投入(tech)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0.017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0.015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0.001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0.012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0.080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人力资本(human)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0.016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0.018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0.010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0.120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金融发展(lnfin)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0.810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0.473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-0.531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0.748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5.213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er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0.954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0.426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0.899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10.943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ter_gdp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6048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42.420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9.787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10.143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41.556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84.747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sec_gdp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6048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43.624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11.169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11.316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43.610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86.907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lnelec_gdp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6.273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0.795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3.414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6.302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9.571</w:t>
            </w:r>
          </w:p>
        </w:tc>
      </w:tr>
      <w:tr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lnpatapp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7.107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1.960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0.713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7.115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12.712</w:t>
            </w:r>
          </w:p>
        </w:tc>
      </w:tr>
    </w:tbl>
    <w:p>
      <w:r>
        <w:rPr>
          <w:i/>
          <w:sz w:val="16"/>
        </w:rPr>
        <w:t>注：被解释变量 lnpoco2 为减污降碳协同指数（越小越好）。</w:t>
      </w:r>
    </w:p>
    <w:p/>
    <w:p>
      <w:r>
        <w:rPr>
          <w:b/>
          <w:sz w:val="21"/>
        </w:rPr>
        <w:t>表2  基准回归：固定效应逐一控制阶梯（含全部控制变量）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(3)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(4)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(5)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(6)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-0.076***</w:t>
              <w:br/>
              <w:t>(-3.156)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-0.077***</w:t>
              <w:br/>
              <w:t>(-2.609)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  <w:br/>
              <w:t>(-3.941)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-0.104***</w:t>
              <w:br/>
              <w:t>(-3.937)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-0.092***</w:t>
              <w:br/>
              <w:t>(-3.295)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-0.132***</w:t>
              <w:br/>
              <w:t>(-3.601)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经济发展(lnpgdp)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0.515***</w:t>
              <w:br/>
              <w:t>(8.558)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0.509***</w:t>
              <w:br/>
              <w:t>(8.049)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0.488***</w:t>
              <w:br/>
              <w:t>(6.130)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0.577***</w:t>
              <w:br/>
              <w:t>(4.054)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人口密度(lndensity)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0.850***</w:t>
              <w:br/>
              <w:t>(9.735)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0.867***</w:t>
              <w:br/>
              <w:t>(9.553)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0.900***</w:t>
              <w:br/>
              <w:t>(7.605)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1.023***</w:t>
              <w:br/>
              <w:t>(4.487)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城镇化(urban)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-0.654***</w:t>
              <w:br/>
              <w:t>(-4.694)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-0.667***</w:t>
              <w:br/>
              <w:t>(-4.784)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-0.615***</w:t>
              <w:br/>
              <w:t>(-3.805)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-0.593***</w:t>
              <w:br/>
              <w:t>(-3.170)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第二产业(struc2)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1.802***</w:t>
              <w:br/>
              <w:t>(8.644)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1.805***</w:t>
              <w:br/>
              <w:t>(8.518)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1.877***</w:t>
              <w:br/>
              <w:t>(6.906)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1.519***</w:t>
              <w:br/>
              <w:t>(3.817)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政府干预(gov)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0.940***</w:t>
              <w:br/>
              <w:t>(4.064)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0.807***</w:t>
              <w:br/>
              <w:t>(3.245)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0.843***</w:t>
              <w:br/>
              <w:t>(2.747)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1.443***</w:t>
              <w:br/>
              <w:t>(3.635)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科技投入(tech)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0.724</w:t>
              <w:br/>
              <w:t>(0.834)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0.337</w:t>
              <w:br/>
              <w:t>(0.380)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-0.007</w:t>
              <w:br/>
              <w:t>(-0.005)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0.789</w:t>
              <w:br/>
              <w:t>(0.489)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人力资本(human)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1.706</w:t>
              <w:br/>
              <w:t>(1.172)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1.666</w:t>
              <w:br/>
              <w:t>(1.105)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0.840</w:t>
              <w:br/>
              <w:t>(0.531)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-3.782</w:t>
              <w:br/>
              <w:t>(-1.535)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金融发展(lnfin)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0.087</w:t>
              <w:br/>
              <w:t>(1.514)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0.082</w:t>
              <w:br/>
              <w:t>(1.386)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0.080</w:t>
              <w:br/>
              <w:t>(1.159)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0.052</w:t>
              <w:br/>
              <w:t>(0.566)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城市FE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年份FE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区域×年FE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省份×年FE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城市趋势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  <w:tr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Adj.R²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0.058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0.023</w:t>
            </w:r>
          </w:p>
        </w:tc>
      </w:tr>
    </w:tbl>
    <w:p>
      <w:r>
        <w:rPr>
          <w:i/>
          <w:sz w:val="16"/>
        </w:rPr>
        <w:t>注：每列在前列基础上仅新增一项固定效应；“—”表示被更细的交乘固定效应吸收。5A政策系数在 −0.076～−0.132 间全程显著。参考文献：Callaway &amp; Sant’Anna (2021, J. of Econometrics)；Hou et al. (2023, EAP)；He et al. (2025, JUE)。</w:t>
      </w:r>
    </w:p>
    <w:p/>
    <w:p>
      <w:r>
        <w:rPr>
          <w:b/>
          <w:sz w:val="21"/>
        </w:rPr>
        <w:t>表3  被解释变量口径重构：Wang &amp; Fang (2026) 交乘法 SEM = CEI×EPI 及延伸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主口径(熵权协同)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SEM交乘EPI×CEI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SEM-SO2交乘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SEM强度化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SEM均值归一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-0.024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-0.009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-0.032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-0.024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(-0.430)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(-0.134)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(-0.576)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(-0.430)</w:t>
            </w:r>
          </w:p>
        </w:tc>
      </w:tr>
      <w:tr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</w:tbl>
    <w:p>
      <w:r>
        <w:rPr>
          <w:i/>
          <w:sz w:val="16"/>
        </w:rPr>
        <w:t>注：主口径（熵权协同）显著；原始两指标交乘（SEM 系列）不显著，说明协同效应存在于多指标熵权协同边际而非简单乘积，从反面支持本文的被解释变量构造。参考文献：Wang &amp; Fang (2026, Energy Economics)。</w:t>
      </w:r>
    </w:p>
    <w:p/>
    <w:p>
      <w:r>
        <w:rPr>
          <w:b/>
          <w:sz w:val="21"/>
        </w:rPr>
        <w:t>表4  Tapio 脱钩检验：5A 对经济增长–减污降碳脱钩的影响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被解释变量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5A政策(DID)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t 值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强脱钩概率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0.040**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(2.120)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  <w:tr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脱钩弹性(缩尾)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-0.216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(-0.977)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5780</w:t>
            </w:r>
          </w:p>
        </w:tc>
      </w:tr>
    </w:tbl>
    <w:p>
      <w:r>
        <w:rPr>
          <w:i/>
          <w:sz w:val="16"/>
        </w:rPr>
        <w:t>注：脱钩弹性 e=Δln(减污降碳)/Δln(人均GDP)；“强脱钩”指经济增长同时减污降碳。5A 显著提升强脱钩概率（处理组 0.485 vs 对照组 0.437）。参考文献：Tapio (2005, Transport Policy)。</w:t>
      </w:r>
    </w:p>
    <w:p/>
    <w:p>
      <w:r>
        <w:rPr>
          <w:b/>
          <w:sz w:val="21"/>
        </w:rPr>
        <w:t>表5  稳健性：控制同期政策干扰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基准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+智慧城市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+节能减排(碳披露)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+旅游枢纽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+全部同控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-0.102***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-0.102***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-0.102***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(-3.922)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(-3.959)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(-3.903)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(-3.871)</w:t>
            </w:r>
          </w:p>
        </w:tc>
      </w:tr>
      <w:tr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</w:tbl>
    <w:p>
      <w:r>
        <w:rPr>
          <w:i/>
          <w:sz w:val="16"/>
        </w:rPr>
        <w:t>注：逐一控制及全部同控智慧城市、节能减排（碳披露）、旅游枢纽（及碳交易/低碳）后，5A 系数稳定于 −0.10 附近且显著。参考文献：He et al. (2025, JUE) 排除同期政策法。</w:t>
      </w:r>
    </w:p>
    <w:p/>
    <w:p>
      <w:r>
        <w:rPr>
          <w:b/>
          <w:sz w:val="21"/>
        </w:rPr>
        <w:t>表6  识别稳健性：替换核心解释变量（4A）与工具变量 2SLS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仅5A处理组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4A替换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5A控4A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2SLS(过度识别)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-0.126***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-0.214**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(-3.989)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(-3.938)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(-2.181)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4A政策(DID4A)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-0.117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(-1.363)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4A强度(ln4A)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-0.002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(-0.065)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一阶段联合F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127.6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Sargan p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0.947</w:t>
            </w:r>
          </w:p>
        </w:tc>
      </w:tr>
      <w:tr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3843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903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</w:tbl>
    <w:p>
      <w:r>
        <w:rPr>
          <w:i/>
          <w:sz w:val="16"/>
        </w:rPr>
        <w:t>注：4A 时点数据仅约1/3有记录（干净对照），方向与5A一致但偏弱；5A 控制4A 后仍显著，效应特定于顶级5A。工具变量为“风景名胜区存量×全国5A推广/时代趋势”移位份额，一阶段F远超10、Sargan 不能拒绝工具有效，2SLS 与OLS 同号且显著。参考文献：Goldsmith-Pinkham, Sorkin &amp; Swift (2020, AER)；He et al. (2025, JUE)。</w:t>
      </w:r>
    </w:p>
    <w:p/>
    <w:p>
      <w:r>
        <w:rPr>
          <w:b/>
          <w:sz w:val="21"/>
        </w:rPr>
        <w:t>表7  机制检验：三步法中介效应与 Sobel 检验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中介渠道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 路径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t(a)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b 路径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t(b)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Sobel z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Sobel p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环境规制 er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0.099***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(3.587)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-0.077***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(-2.750)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-2.182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0.029**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能耗强度 lnelec_gdp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-0.160***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(-3.254)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0.057***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(3.330)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-2.327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0.020**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绿色创新 lnpatapp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0.128***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(3.526)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-0.065***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(-3.248)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-2.389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0.017**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三产集聚 ter_gdp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1.345***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(3.277)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-0.014***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(-6.301)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-2.907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0.004***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二产挤出 sec_gdp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-0.445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(-0.999)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0.018***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(8.640)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-0.993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0.321</w:t>
            </w:r>
          </w:p>
        </w:tc>
      </w:tr>
      <w:tr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公众关注 zhaze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0.137***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(3.005)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-0.050***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(-2.607)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-1.969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0.049**</w:t>
            </w:r>
          </w:p>
        </w:tc>
      </w:tr>
    </w:tbl>
    <w:p>
      <w:r>
        <w:rPr>
          <w:i/>
          <w:sz w:val="16"/>
        </w:rPr>
        <w:t>注：a 路径为 5A→中介，b 路径为中介→减污降碳（均含全部控制变量，结构类渠道剔除 struc2 以避免坏控制）。环境规制/能耗强度/绿色创新/三产集聚/公众关注均为显著中介，二产挤出不显著。参考文献：江艇 (2022, 中国工业经济)；He et al. (2025, JUE) 部门溢出。</w:t>
      </w:r>
    </w:p>
    <w:p/>
    <w:p>
      <w:r>
        <w:rPr>
          <w:b/>
          <w:sz w:val="21"/>
        </w:rPr>
        <w:t>表8  异质性分析（★为新增创新维度）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维度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组1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系数1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t1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组2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系数2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t2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资源禀赋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资源型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-0.095**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(-2.361)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非资源型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-0.107***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(-3.095)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行政等级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中心城市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-0.155**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(-2.430)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一般城市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-0.094***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(-3.325)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5A数量强度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单个5A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-0.086***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(-2.934)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多个5A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-0.113***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(-2.598)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景区属性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自然类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-0.135***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(-4.833)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人文类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0.001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(0.023)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污染碳本底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高本底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-0.102***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(-2.798)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低本底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-0.106***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(-2.786)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旅游本底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-0.142***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(-3.705)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低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-0.074*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(-1.941)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规制本底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强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-0.075**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(-2.033)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弱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-0.134***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(-3.496)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★旅游资源丰度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高4A密度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-0.182*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(-1.880)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低4A密度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-0.093***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(-3.437)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★距省会区位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远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-0.120***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(-3.039)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近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-0.084**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(-2.429)</w:t>
            </w:r>
          </w:p>
        </w:tc>
      </w:tr>
      <w:tr>
        <w:tc>
          <w:tcPr>
            <w:tcW w:type="dxa" w:w="123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★海陆区位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沿海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-0.113***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(-2.681)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内陆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-0.084**</w:t>
            </w:r>
          </w:p>
        </w:tc>
        <w:tc>
          <w:tcPr>
            <w:tcW w:type="dxa" w:w="12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(-2.556)</w:t>
            </w:r>
          </w:p>
        </w:tc>
      </w:tr>
      <w:tr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★数字科技本底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高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-0.121***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(-3.312)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低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-0.084**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(-2.048)</w:t>
            </w:r>
          </w:p>
        </w:tc>
      </w:tr>
    </w:tbl>
    <w:p>
      <w:r>
        <w:rPr>
          <w:i/>
          <w:sz w:val="16"/>
        </w:rPr>
        <w:t>注：各分组回归均含城市固定效应、年份固定效应与全部控制变量。★新增维度：旅游资源丰度（4A密度）、距省会区位、海陆区位、数字科技本底。参考文献：He et al. (2025, JUE) 分位异质性。</w:t>
      </w:r>
    </w:p>
    <w:p/>
    <w:p>
      <w:r>
        <w:rPr>
          <w:b/>
          <w:sz w:val="21"/>
        </w:rPr>
        <w:t>表9  空间异质性：局部莫兰 (LISA) 集聚类型分组的 5A 效应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HH高-高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LL低-低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HL高-低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LH低-高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-0.080**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-0.160***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-0.097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-0.054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(-1.969)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(-2.851)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(-1.165)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(-1.133)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城市数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113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79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36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61</w:t>
            </w:r>
          </w:p>
        </w:tc>
      </w:tr>
      <w:tr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2373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1659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756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1281</w:t>
            </w:r>
          </w:p>
        </w:tc>
      </w:tr>
    </w:tbl>
    <w:p>
      <w:r>
        <w:rPr>
          <w:i/>
          <w:sz w:val="16"/>
        </w:rPr>
        <w:t>注：以城市 lnpoco2 时期均值划分 HH/LL/HL/LH 四类空间集聚。效应在 LL 低-低洁净集聚区最强、HH 高-高集聚区显著。参考文献：Anselin (1995, Geographical Analysis)；LeSage &amp; Pace (2009)。</w:t>
      </w:r>
    </w:p>
    <w:p/>
    <w:p>
      <w:pPr>
        <w:pStyle w:val="Heading1"/>
      </w:pPr>
      <w:r>
        <w:t>参考文献</w:t>
      </w:r>
    </w:p>
    <w:p>
      <w:pPr>
        <w:ind w:left="420" w:hanging="420"/>
      </w:pPr>
      <w:r>
        <w:rPr>
          <w:sz w:val="18"/>
        </w:rPr>
        <w:t>Anselin, L. (1995). Local Indicators of Spatial Association—LISA. Geographical Analysis, 27(2), 93–115.</w:t>
      </w:r>
    </w:p>
    <w:p>
      <w:pPr>
        <w:ind w:left="420" w:hanging="420"/>
      </w:pPr>
      <w:r>
        <w:rPr>
          <w:sz w:val="18"/>
        </w:rPr>
        <w:t>Callaway, B., &amp; Sant’Anna, P. H. C. (2021). Difference-in-Differences with Multiple Time Periods. Journal of Econometrics, 225(2), 200–230.</w:t>
      </w:r>
    </w:p>
    <w:p>
      <w:pPr>
        <w:ind w:left="420" w:hanging="420"/>
      </w:pPr>
      <w:r>
        <w:rPr>
          <w:sz w:val="18"/>
        </w:rPr>
        <w:t>de Chaisemartin, C., &amp; D’Haultfœuille, X. (2020). Two-Way Fixed Effects Estimators with Heterogeneous Treatment Effects. American Economic Review, 110(9), 2964–2996.</w:t>
      </w:r>
    </w:p>
    <w:p>
      <w:pPr>
        <w:ind w:left="420" w:hanging="420"/>
      </w:pPr>
      <w:r>
        <w:rPr>
          <w:sz w:val="18"/>
        </w:rPr>
        <w:t>Goldsmith-Pinkham, P., Sorkin, I., &amp; Swift, H. (2020). Bartik Instruments: What, When, Why, and How. American Economic Review, 110(8), 2586–2624.</w:t>
      </w:r>
    </w:p>
    <w:p>
      <w:pPr>
        <w:ind w:left="420" w:hanging="420"/>
      </w:pPr>
      <w:r>
        <w:rPr>
          <w:sz w:val="18"/>
        </w:rPr>
        <w:t>He, Z., et al. (2025). Tourism Growth and Education Decline: Evidence from China’s 5A Attraction Expansion. Journal of Urban Economics, 150, 103811.</w:t>
      </w:r>
    </w:p>
    <w:p>
      <w:pPr>
        <w:ind w:left="420" w:hanging="420"/>
      </w:pPr>
      <w:r>
        <w:rPr>
          <w:sz w:val="18"/>
        </w:rPr>
        <w:t>Hou, X., Hu, Q., Liang, X., et al. (2023). How Do Low-carbon City Pilots Affect Carbon Emissions? Economic Analysis and Policy, 79, 664–686.</w:t>
      </w:r>
    </w:p>
    <w:p>
      <w:pPr>
        <w:ind w:left="420" w:hanging="420"/>
      </w:pPr>
      <w:r>
        <w:rPr>
          <w:sz w:val="18"/>
        </w:rPr>
        <w:t>LeSage, J., &amp; Pace, R. K. (2009). Introduction to Spatial Econometrics. CRC Press.</w:t>
      </w:r>
    </w:p>
    <w:p>
      <w:pPr>
        <w:ind w:left="420" w:hanging="420"/>
      </w:pPr>
      <w:r>
        <w:rPr>
          <w:sz w:val="18"/>
        </w:rPr>
        <w:t>Sun, L., &amp; Abraham, S. (2021). Estimating Dynamic Treatment Effects in Event Studies with Heterogeneous Treatment Effects. Journal of Econometrics, 225(2), 175–199.</w:t>
      </w:r>
    </w:p>
    <w:p>
      <w:pPr>
        <w:ind w:left="420" w:hanging="420"/>
      </w:pPr>
      <w:r>
        <w:rPr>
          <w:sz w:val="18"/>
        </w:rPr>
        <w:t>Tapio, P. (2005). Towards a Theory of Decoupling: Degrees of Decoupling in the EU and the Case of Road Traffic in Finland between 1970 and 2001. Transport Policy, 12(2), 137–151.</w:t>
      </w:r>
    </w:p>
    <w:p>
      <w:pPr>
        <w:ind w:left="420" w:hanging="420"/>
      </w:pPr>
      <w:r>
        <w:rPr>
          <w:sz w:val="18"/>
        </w:rPr>
        <w:t>Wang, Q., &amp; Fang, J. (2026). Synergy of Pollution and Carbon Reduction: A Cross-multiplication Measurement (SEM=CEI×EPI). Energy Economics (forthcoming).</w:t>
      </w:r>
    </w:p>
    <w:p>
      <w:pPr>
        <w:ind w:left="420" w:hanging="420"/>
      </w:pPr>
      <w:r>
        <w:rPr>
          <w:sz w:val="18"/>
        </w:rPr>
        <w:t>江艇 (2022). 因果推断经验研究中的中介效应与调节效应. 中国工业经济, (5), 100–120.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