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2"/>
        </w:rPr>
        <w:t>国家5A级景区建设、减污降碳与空间溢出效应：实证结果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本报告整合全部实证结果，重点为空间溢出部分，建模、报告格式与固定效应处理对标同主题标杆文献（“Tourism Designation and Green Innovation: Evidence from China’s 5A National Tourist Attractions”，下称标杆文献）。被解释变量 lnpoco2（减污降碳，越小越好），核心解释变量 DID（5A景区政策）。样本 2003–2023 年 289 市平衡面板（N=6069）。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一、基准回归（回顾）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表1  基准双重差分回归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被解释变量 lnpoco2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系数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t 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−0.103***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(−3.91)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控制变量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 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城市/年份固定效应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6069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注：控制变量含经济发展、人口密度、城镇化、产业结构、政府干预、科技投入、人力资本、金融发展。* p&lt;0.1, ** p&lt;0.05, *** p&lt;0.01。参照：Callaway &amp; Sant’Anna (2021)、Sun &amp; Abraham (2021)。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二、空间溢出效应分析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2.1 空间权重矩阵（285→289城市匹配）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表2  五类空间权重矩阵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矩阵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符号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构造（i≠j，行标准化）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邻接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W_adj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地理邻接（中心距≤163km；密度≈5）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地理距离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W_geo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1/d²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经济距离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W_econ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1/|Ȳ_i−Ȳ_j|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经济地理权重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W_egw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0.5·W_geo+0.5·W_econ</w:t>
            </w:r>
          </w:p>
        </w:tc>
      </w:tr>
      <w:tr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经济地理嵌套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W_egn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(1/d²)·(Ȳ_j/Ȳ̄)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参照：LeSage &amp; Pace (2009)；Elhorst (2014)；Zheng &amp; Kahn (2017)。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2.2 空间诊断检验（前置检验）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表3  空间诊断检验（经济地理权重矩阵，Time FE）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检验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统计量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P 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Moran’s 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0.014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LM（空间误差）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11.26***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稳健 LM（空间误差）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7.14***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LM（空间滞后）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27.26***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稳健 LM（空间滞后）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23.14***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LR 检验（SDM vs SAR）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163.75***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Wald 检验（θ=0）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142.77***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LR 检验（空间滞后 ρ=0）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7.40***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0.007</w:t>
            </w:r>
          </w:p>
        </w:tc>
      </w:tr>
      <w:tr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Hausman 检验（FE vs RE）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95.11***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0.000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注：LM/稳健LM 检验空间误差与空间滞后依赖（Anselin, 1988）；LR、Wald 检验 SDM 可否退化为 SAR/SEM（Elhorst, 2014）；Hausman 检验（χ²=95.1，df=9）强烈拒绝随机效应，支持固定效应。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2.3 全局 Moran’s I 的年度演变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表4  分年度全局 Moran’s I（经济地理权重矩阵）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Moran’s I</w:t>
            </w:r>
          </w:p>
        </w:tc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Z 值</w:t>
            </w:r>
          </w:p>
        </w:tc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P 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0.139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7.900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0.139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7.935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7.327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0.136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7.764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7.958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7.041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0.106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6.116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6.617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6.329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7.337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5.717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6.046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6.299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0.108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6.219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5.842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6.022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0.106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6.094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0.109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6.262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6.370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6.576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  <w:tr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2023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0.125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7.172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注：Z 值基于随机化方差（999 次置换）；各年 Moran’s I 均在1%水平显著为正，减污降碳存在持续的正向空间集聚。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45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ran时间趋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图1  全局 Moran’s I 的时间演变（2003–2023）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4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ran_2003_20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图2  Moran 散点图（2003 与 2023 年）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2.4 空间杜宾模型：三种固定效应（完整系数）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表5  空间杜宾模型完整估计（W_egw；对标标杆文献表A4）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(1) Time FE</w:t>
            </w:r>
          </w:p>
        </w:tc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(2) Individual FE</w:t>
            </w:r>
          </w:p>
        </w:tc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(3) Two-way FE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-0.297***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(-6.31)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-0.106***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(-4.17)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-0.102***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(-4.03)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经济发展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+0.101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(+0.89)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+0.591***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(+8.26)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+0.564***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(+7.69)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人口密度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+0.761***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(+22.29)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+0.911***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(+9.15)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+0.887***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(+8.87)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城镇化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-1.429***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(-7.01)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-0.613***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(-4.84)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-0.636***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(-5.00)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产业结构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+1.658***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(+6.59)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+1.698***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(+8.81)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+1.725***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(+8.93)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政府干预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-0.706*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(-1.69)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+0.667***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(+2.79)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+0.701***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(+2.91)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科技投入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+9.528***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(+4.74)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+0.669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(+0.71)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+0.590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(+0.63)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人力资本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+3.924**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(+2.47)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+1.582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(+1.11)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+1.870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(+1.30)</w:t>
            </w:r>
          </w:p>
        </w:tc>
      </w:tr>
      <w:tr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金融发展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-0.273***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(-3.96)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+0.105*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(+1.84)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+0.101*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(+1.78)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—— 空间滞后项 W×X ——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W×DID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+1.139***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(+5.41)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-0.018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(-0.17)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+0.050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(+0.43)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W×经济发展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+0.287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(+0.99)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-0.611***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(-5.99)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-0.426*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(-1.93)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W×人口密度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-0.007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(-0.06)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-0.287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(-0.90)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-0.461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(-1.18)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W×城镇化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-1.269*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(-1.67)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+0.374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(+0.79)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+0.229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(+0.46)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W×产业结构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-0.011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(-0.01)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+1.510***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(+3.32)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+0.749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(+1.07)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W×政府干预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-7.158***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(-5.42)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+2.174***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(+4.12)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+1.876**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(+2.53)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W×科技投入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-48.841***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(-6.99)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+3.706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(+1.27)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+3.656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(+1.07)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W×人力资本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+33.709***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(+5.28)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-2.235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(-0.46)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+7.941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(+1.22)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W×金融发展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+0.557*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(+1.92)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-0.146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(-1.02)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-0.282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(-1.21)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ρ（空间自回归）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+0.107***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-0.010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-0.042</w:t>
            </w:r>
          </w:p>
        </w:tc>
      </w:tr>
      <w:tr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6069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6069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6069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注：单元格为系数（星号）与括号内 t 值；* p&lt;0.1 ** p&lt;0.05 *** p&lt;0.01。ρ 显著性基于 LR 检验。DID 直接效应在三种固定效应下均稳健显著为负；政策空间溢出 W×DID 在 Time FE 显著、随城市固定效应加入而衰减。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2.5 替换五类权重矩阵（完整系数）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表6  五类权重矩阵 SDM 完整估计（Time FE；对标标杆文献表A5）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邻接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地理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经济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经济地理权重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经济地理嵌套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DID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-0.320***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(-6.73)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-0.302***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(-6.39)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-0.294***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(-6.24)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-0.297***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(-6.31)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-0.291***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(-6.13)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经济发展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+0.447***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(+5.26)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+0.371***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(+4.20)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+0.231**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(+2.11)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+0.101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(+0.89)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+0.358***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(+4.12)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人口密度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+0.677***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(+16.97)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+0.790***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(+19.95)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+0.780***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(+27.08)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+0.761***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(+22.29)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+0.742***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(+18.77)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城镇化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-1.238***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(-5.53)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-1.118***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(-5.11)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-1.783***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(-9.23)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-1.429***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(-7.01)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-1.090***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(-5.03)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产业结构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+1.485***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(+5.43)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+1.022***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(+3.75)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+1.845***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(+7.76)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+1.658***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(+6.59)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+1.138***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(+4.20)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政府干预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-1.400***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(-3.52)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-1.760***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(-4.42)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-0.929**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(-2.36)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-0.706*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(-1.69)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-2.182***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(-5.57)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科技投入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+4.888**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(+2.36)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+7.181***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(+3.39)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+6.867***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(+3.77)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+9.528***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(+4.74)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+6.218***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(+2.97)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人力资本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+3.251**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(+1.97)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+0.703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(+0.42)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+5.329***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(+3.57)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+3.924**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(+2.47)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+2.291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(+1.39)</w:t>
            </w:r>
          </w:p>
        </w:tc>
      </w:tr>
      <w:tr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金融发展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-0.208***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(-2.88)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-0.200***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(-2.74)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-0.270***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(-4.18)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-0.273***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(-3.96)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-0.192***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(-2.63)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—— W×X ——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W×DID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+0.535***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(+6.18)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+1.019***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(+5.03)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+0.303**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(+2.43)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+1.139***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(+5.41)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+0.965***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(+5.10)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W×经济发展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-0.123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(-1.05)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+0.062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(+0.28)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-0.021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(-0.10)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+0.287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(+0.99)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+0.335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(+1.64)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W×人口密度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-0.019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(-0.36)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-0.204*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(-1.94)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+0.200***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(+2.69)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-0.007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(-0.06)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+0.070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(+0.70)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W×城镇化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-0.561*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(-1.91)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-1.593***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(-2.73)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+1.054*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(+1.92)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-1.269*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(-1.67)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-1.713***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(-3.09)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W×产业结构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+0.544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(+1.52)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+3.280***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(+4.37)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-2.032***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(-3.20)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-0.011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(-0.01)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+1.313*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(+1.77)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W×政府干预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-1.436**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(-2.54)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-3.204**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(-2.55)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-4.850***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(-5.70)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-7.158***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(-5.42)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+0.644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(+0.44)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W×科技投入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-6.018*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(-1.87)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-25.477***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(-4.44)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-30.023***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(-5.93)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-48.841***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(-6.99)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-18.015***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(-3.59)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W×人力资本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+9.248***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(+3.38)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+68.121***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(+10.21)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-0.614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(-0.15)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+33.709***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(+5.28)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+53.759***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(+10.75)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W×金融发展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-0.053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(-0.50)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-0.332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(-1.51)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+0.554***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(+2.79)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+0.557*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(+1.92)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-0.160</w:t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(-0.73)</w:t>
            </w:r>
          </w:p>
        </w:tc>
      </w:tr>
      <w:tr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ρ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+0.062***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-0.158***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+0.112***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+0.107***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-0.151***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注：五类矩阵下 ρ 均在1%显著；经济地理（权重/嵌套）矩阵政策溢出最大——与标杆文献“经济相近城市溢出更强”一致（Cohen &amp; Levinthal, 1990）。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2.6 溢出范围：地理距离衰减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模型：以不同 km 阈值距离权重矩阵 W_d(km) 重估 SDM（Time FE），观察 ρ 与 W×DID 随距离变化。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表7  溢出范围：不同距离阈值（Time FE）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距离阈值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ρ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政策溢出 W×DID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≤150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0.035**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0.576***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≤200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0.054***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0.362***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≤250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0.175***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0.383***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≤300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0.188***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0.256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≤350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0.080**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0.484***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≤400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0.089**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0.380*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≤450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−0.001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0.414*</w:t>
            </w:r>
          </w:p>
        </w:tc>
      </w:tr>
      <w:tr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≤500 km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−0.139***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0.919***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注：有效溢出半径约300–400公里；超过后 ρ 转负、不稳，反映区域趋同。参照：Hering &amp; Poncet (2014)。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7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距离衰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图3  空间溢出的地理距离衰减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2.7 门槛与分段异质性溢出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借鉴顶刊范式：(A) Hansen (1999) 面板门槛模型（门槛变量取经济发展/产业结构）；(B) 空间区制模型（spatial regimes, LeSage &amp; Pace, 2009），将政策空间溢出 W×DID 按下列维度分区制估计；(C) 处理邻居暴露/环状剔除法（treated-neighbor exposure / donut，Butts, 2023；Clarke, 2017）。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表8  分段异质性溢出：政策空间溢出 W×DID（Time FE，W_egw）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区制维度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低 / 否 组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高 / 是 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吸收能力（人力资本）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1.139***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1.037***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经济发展水平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1.710***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1.076***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第三产业占比（旅游相关）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1.077***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1.051***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环境规制强度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0.930***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1.091***</w:t>
            </w:r>
          </w:p>
        </w:tc>
      </w:tr>
      <w:tr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区位（中西部 / 东部）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1.381***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0.857***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注：溢出在低发展、中西部城市更强。参照：Hansen (1999)；Cohen &amp; Levinthal (1990)；LeSage &amp; Pace (2009) 空间区制。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077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分区制异质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7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图4  分区制异质性溢出（W×DID）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表9  控制组溢出污染检验（对标标杆文献表A6）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(1) 基准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(2) 加溢出虚拟变量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−0.103***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−0.092**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溢出虚拟变量(spill)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0.012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  (t)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(0.32)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城市/年份FE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6069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6069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7"/>
        </w:rPr>
        <w:t>注：spill=自身未处理且有已处理邻居（queen 邻接）。溢出虚拟变量不显著、DID 仍显著，表明空间溢出未实质污染基准识别。参照：Miguel &amp; Kremer (2004)；Greenstone et al. (2010)。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2.8 关于固定效应与解释力的说明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溢出仅在 Time FE 显著是否有解释力、顶刊是否要求双向 FE 显著？回答：核心因果主张是政策“本地”减排效应，其 DID 直接效应在三种固定效应下均稳健显著（表5），已满足严格识别。空间“溢出”本质是横截面维度的城市间关联，双向固定效应吸收共同时间冲击与时不变区域异质性、从而衰减溢出系数，这在空间计量中属预期（Elhorst, 2014）。同主题标杆文献采用完全相同处理：主溢出表用 Time FE（其表10），三种固定效应并列（其表A4），并说明双向FE下衰减属预期（其 W×DID：Time FE 0.195、Individual FE 0.202 显著，Two-way FE 0.057 不显著）。故本报告以 Time FE 为主、三 FE 并列，符合顶刊范式；不通过改动数据使双向 FE “被显著”。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2.9 溢出传导机制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以邻接矩阵做 SAR、仅个体固定效应逐步加控制，ρ 由仅含 DID 的 0.105*** 塌缩至纳入产业结构后的 0.03、全控制下 0.007（不显著），表明减污降碳空间关联主要经由“产业结构邻近性”传导。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52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ho_atten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图5  空间自回归系数随控制变量纳入而塌缩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506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ho矩阵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图6  五类矩阵在三种固定效应下的 ρ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三、模型—顶刊参考文献对照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表10  各模型对应的顶刊参考文献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模型 / 检验</w:t>
            </w:r>
          </w:p>
        </w:tc>
        <w:tc>
          <w:tcPr>
            <w:tcW w:type="dxa" w:w="43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参考文献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空间杜宾模型 SDM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LeSage &amp; Pace (2009); Elhorst (2014)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空间诊断（LM/LR/Wald/Hausman）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Anselin (1988); Elhorst (2014)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权重矩阵（邻接/经济/嵌套）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Zheng &amp; Kahn (2017); 标杆文献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直接/间接/总效应分解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LeSage &amp; Pace (2009)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Moran’s I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Anselin (1988); 标杆文献图A5/A6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溢出范围（距离衰减）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Hering &amp; Poncet (2014)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门槛/分区制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Hansen (1999); LeSage &amp; Pace (2009)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处理邻居暴露/环状剔除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Butts (2023); Clarke (2017); 标杆文献表A6</w:t>
            </w:r>
          </w:p>
        </w:tc>
      </w:tr>
      <w:tr>
        <w:tc>
          <w:tcPr>
            <w:tcW w:type="dxa" w:w="4320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稳健多时点DID</w:t>
            </w:r>
          </w:p>
        </w:tc>
        <w:tc>
          <w:tcPr>
            <w:tcW w:type="dxa" w:w="4320"/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Callaway &amp; Sant’Anna (2021); Sun &amp; Abraham (2021)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四、空间溢出层面的创新方向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① 结构性空间中介：构造“产业结构相似度”权重矩阵，检验政策沿产业相似扩散；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② 方向性溢出：非对称权重（旅游客流、行政等级落差）区分“示范带动”与“竞争虹吸”；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③ 动态空间杜宾（偏差校正 QML, Yu et al. 2008）：短期/长期溢出路径；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④ 多重网络叠加（地理×经济×高铁×旅游流）识别主导溢出网络；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⑤ 稳健多时点DID的空间版（Sun-Abraham/Callaway-Sant’Anna 结合空间）；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⑥ 门槛型空间溢出：识别溢出由“虹吸”转“带动”的临界条件。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五、复现说明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全部空间分析由“一个 do + 一个 dta”复现：spatial_analysis.do 从 data_spatial.dta（含经纬度与人均GDP均值）在 Mata 现场构造5类权重矩阵，依次完成诊断检验(含Hausman)、分年度 Moran’s I、SDM(三种固定效应)、五矩阵、溢出范围、门槛/分区制、溢出污染检验与全部作图，所有结果输出至 results 文件夹。需 ssc install xsmle xthreg。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六、参考文献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Anselin, L. (1988). Spatial Econometrics: Methods and Models. Kluwer.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Butts, K. (2023). Difference-in-Differences with Spatial Spillovers. Working paper.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Callaway, B., &amp; Sant’Anna, P. H. C. (2021). Difference-in-Differences with Multiple Time Periods. Journal of Econometrics, 225(2), 200–230.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Clarke, D. (2017). Estimating Difference-in-Differences in the Presence of Spillovers. Working paper.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Cohen, W. M., &amp; Levinthal, D. A. (1990). Absorptive Capacity. Administrative Science Quarterly, 35(1), 128–152.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de Chaisemartin, C., &amp; D’Haultfœuille, X. (2020). Two-Way Fixed Effects Estimators with Heterogeneous Treatment Effects. American Economic Review, 110(9), 2964–2996.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Elhorst, J. P. (2014). Spatial Econometrics: From Cross-Sectional Data to Spatial Panels. Springer.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Greenstone, M., List, J. A., &amp; Syverson, C. (2010). The Effects of Environmental Regulation on Manufacturing. NBER WP.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Hansen, B. E. (1999). Threshold Effects in Non-Dynamic Panels. Journal of Econometrics, 93(2), 345–368.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Hering, L., &amp; Poncet, S. (2014). Environmental Policy and Exports: Evidence from Chinese Cities. Journal of Environmental Economics and Management, 68(2), 296–318.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LeSage, J., &amp; Pace, R. K. (2009). Introduction to Spatial Econometrics. CRC Press.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Miguel, E., &amp; Kremer, M. (2004). Worms: Identifying Impacts on Education and Health in the Presence of Treatment Externalities. Econometrica, 72(1), 159–217.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Sun, L., &amp; Abraham, S. (2021). Estimating Dynamic Treatment Effects in Event Studies with Heterogeneous Treatment Effects. Journal of Econometrics, 225(2), 175–199.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Yu, J., de Jong, R., &amp; Lee, L. (2008). Quasi-Maximum Likelihood Estimators for Spatial Dynamic Panel Data. Journal of Econometrics, 146(1), 118–134.</w:t>
      </w:r>
    </w:p>
    <w:p>
      <w:pPr>
        <w:ind w:left="432" w:hanging="432"/>
      </w:pPr>
      <w:r>
        <w:rPr>
          <w:rFonts w:ascii="Times New Roman" w:hAnsi="Times New Roman" w:eastAsia="Times New Roman"/>
          <w:b w:val="0"/>
          <w:color w:val="000000"/>
          <w:sz w:val="18"/>
        </w:rPr>
        <w:t>Zheng, S., &amp; Kahn, M. E. (2017). A New Era of Pollution Progress in Urban China? Journal of Economic Perspectives, 31(1), 71–92.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