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Houssam Mehfara</w:t>
      </w:r>
    </w:p>
    <w:p>
      <w:pPr>
        <w:spacing w:after="80"/>
        <w:jc w:val="center"/>
      </w:pPr>
      <w:r>
        <w:rPr>
          <w:rFonts w:ascii="Arial" w:cs="Arial" w:eastAsia="Arial" w:hAnsi="Arial"/>
          <w:sz w:val="19"/>
          <w:szCs w:val="19"/>
        </w:rPr>
        <w:t xml:space="preserve">Barcelona | hmehfara@gmail.com | +34 614 7117 32 | linkedin.com/in/houssam-mehfara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PROFILE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Junior consultant in Barcelona (GlobalCAD, Mar 2026 - present) who turns messy data into structured, client-ready analysis. Built formula-driven scoring models in Excel and cleaned and processed datasets in Stata and R for a UNICEF risk assessment. Client-facing in English, French, Arabic and Spanish. Looking for an entry-level technology consulting programme.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Analysis and modelling: </w:t>
      </w:r>
      <w:r>
        <w:rPr>
          <w:rFonts w:ascii="Arial" w:cs="Arial" w:eastAsia="Arial" w:hAnsi="Arial"/>
          <w:sz w:val="20"/>
          <w:szCs w:val="20"/>
        </w:rPr>
        <w:t xml:space="preserve">Excel (Power Query, PivotTables, scenario and sensitivity analysis), Power BI, Stata, R | Problem structuring, data quality checks, reporting | Generative AI and workflow automation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English, French, Arabic (native), Spanish (C1), Catalan (B2), Danish (B1)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</w:t>
      </w:r>
    </w:p>
    <w:p>
      <w:pPr>
        <w:keepNext/>
        <w:tabs>
          <w:tab w:val="right" w:pos="9890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Consultant, GlobalCAD, Barcelona</w:t>
      </w:r>
      <w:r>
        <w:rPr>
          <w:rFonts w:ascii="Arial" w:cs="Arial" w:eastAsia="Arial" w:hAnsi="Arial"/>
          <w:sz w:val="20"/>
          <w:szCs w:val="20"/>
        </w:rPr>
        <w:t xml:space="preserve">	Mar 2026 -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indicator scoring and cleaned and processed data in Stata, R and Excel for a UNICEF climate-risk assessment covering 26 coastal districts.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Contributed to a formula-driven risk workbook (about 900 formulas per climate scenario) comparing two scenarios.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Corrected scores against field evidence in review rounds with the local team, across several sectors including WASH and public health.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Rebuilt, cleaned and segmented a partner and expert database of 2,500+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Automated tender screening with an AI agent: roughly 30% less analysis time; the team now screens 10-12 opportunities a week from a shortlist.</w:t>
      </w:r>
    </w:p>
    <w:p>
      <w:pPr>
        <w:keepNext/>
        <w:tabs>
          <w:tab w:val="right" w:pos="9890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Engagement Associate, SEA Expo (Saudi Entertainment &amp; Amusement Expo), Riyadh</w:t>
      </w:r>
      <w:r>
        <w:rPr>
          <w:rFonts w:ascii="Arial" w:cs="Arial" w:eastAsia="Arial" w:hAnsi="Arial"/>
          <w:sz w:val="20"/>
          <w:szCs w:val="20"/>
        </w:rPr>
        <w:t xml:space="preserve">	Apr 2024 - May 2025</w:t>
      </w:r>
    </w:p>
    <w:p>
      <w:pPr>
        <w:spacing w:after="3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Part time, freelance, hybrid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Attracted and booked meetings with 60+ target-client leads; managed 25+ corporate accounts.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Sole owner of the Gulf and MENA market: prospecting, discovery, proposals and account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Led meetings in Arabic with senior executives and investors; coordinated technical, commercial, legal and operational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Wrote pipeline briefings and market-intelligence updates for senior management.</w:t>
      </w:r>
    </w:p>
    <w:p>
      <w:pPr>
        <w:keepNext/>
        <w:tabs>
          <w:tab w:val="right" w:pos="9890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International Affairs Associate, Ministry of Foreign Affairs, Lebanon, Beirut</w:t>
      </w:r>
      <w:r>
        <w:rPr>
          <w:rFonts w:ascii="Arial" w:cs="Arial" w:eastAsia="Arial" w:hAnsi="Arial"/>
          <w:sz w:val="20"/>
          <w:szCs w:val="20"/>
        </w:rPr>
        <w:t xml:space="preserve">	Jan - Jun 2024</w:t>
      </w:r>
    </w:p>
    <w:p>
      <w:pPr>
        <w:spacing w:after="3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Part time, on site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Co-developed a diaspora engagement strategy with the Head of the Emigrants Department.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Analysed high-volume diaspora data in Stata (data merging, OLS regression, summary statistics).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Drafted policy notes and memos; handled correspondence with UN, EU and foreign-government counterparts.</w:t>
      </w:r>
    </w:p>
    <w:p>
      <w:pPr>
        <w:keepNext/>
        <w:tabs>
          <w:tab w:val="right" w:pos="9890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Policy &amp; Strategic Insights Intern, League of Arab States, Cairo</w:t>
      </w:r>
      <w:r>
        <w:rPr>
          <w:rFonts w:ascii="Arial" w:cs="Arial" w:eastAsia="Arial" w:hAnsi="Arial"/>
          <w:sz w:val="20"/>
          <w:szCs w:val="20"/>
        </w:rPr>
        <w:t xml:space="preserve">	Jul -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Wrote analytical memos for senior leadership on the Sudanese civil war and the GERD dispute.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Ran an economic-intelligence watch on trade, transport and the Red Sea and Suez.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tabs>
          <w:tab w:val="right" w:pos="9890"/>
        </w:tabs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 International Relations (IPE pathway), IBEI, Barcelona</w:t>
      </w:r>
      <w:r>
        <w:rPr>
          <w:rFonts w:ascii="Arial" w:cs="Arial" w:eastAsia="Arial" w:hAnsi="Arial"/>
          <w:sz w:val="20"/>
          <w:szCs w:val="20"/>
        </w:rPr>
        <w:t xml:space="preserve">	2024 - 2026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Average 8.8/10. Thesis: Red Sea trade, shipping rerouting and freight-cost transmission (mixed methods).</w:t>
      </w:r>
    </w:p>
    <w:p>
      <w:pPr>
        <w:tabs>
          <w:tab w:val="right" w:pos="9890"/>
        </w:tabs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 Political Science, dual degree, Sciences Po Paris + AUB</w:t>
      </w:r>
      <w:r>
        <w:rPr>
          <w:rFonts w:ascii="Arial" w:cs="Arial" w:eastAsia="Arial" w:hAnsi="Arial"/>
          <w:sz w:val="20"/>
          <w:szCs w:val="20"/>
        </w:rPr>
        <w:t xml:space="preserve">	2021 - 2024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17.2/20 (Sciences Po) and 3.7/4.0 (AUB).</w:t>
      </w:r>
    </w:p>
    <w:sectPr>
      <w:pgSz w:w="11906" w:h="16838" w:orient="portrait"/>
      <w:pgMar w:top="850" w:right="1008" w:bottom="85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2026-10-01T10:02:16.217Z</dcterms:created>
  <dcterms:modified xsi:type="dcterms:W3CDTF">2026-10-01T10:02:16.217Z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