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136D" w14:textId="2CC95CBC" w:rsidR="000C5D8E" w:rsidRPr="00346DE2" w:rsidRDefault="00EF1843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346DE2">
        <w:rPr>
          <w:rFonts w:ascii="Arial" w:hAnsi="Arial" w:cs="Arial"/>
          <w:color w:val="000000" w:themeColor="text1"/>
          <w:sz w:val="22"/>
          <w:szCs w:val="22"/>
          <w:lang w:val="en-GB"/>
        </w:rPr>
        <w:t>Unit 8 – Collaborative Discussion 3</w:t>
      </w:r>
      <w:r w:rsidR="00D659B4" w:rsidRPr="00346DE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– Initial Post</w:t>
      </w:r>
    </w:p>
    <w:p w14:paraId="462335F9" w14:textId="3CBFA7F2" w:rsidR="00EF1843" w:rsidRPr="00346DE2" w:rsidRDefault="00EF1843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F9AB56D" w14:textId="2F01D80F" w:rsidR="00EF1843" w:rsidRPr="00346DE2" w:rsidRDefault="00477445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</w:pPr>
      <w:r w:rsidRPr="00346DE2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>Case Study:</w:t>
      </w:r>
      <w:r w:rsidR="00EF1843" w:rsidRPr="00346DE2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 xml:space="preserve"> </w:t>
      </w:r>
      <w:r w:rsidR="00EF1843" w:rsidRPr="00346DE2">
        <w:rPr>
          <w:rFonts w:ascii="Arial" w:hAnsi="Arial" w:cs="Arial"/>
          <w:b/>
          <w:bCs/>
          <w:color w:val="000000" w:themeColor="text1"/>
          <w:sz w:val="22"/>
          <w:szCs w:val="22"/>
          <w:u w:val="single"/>
          <w:lang w:val="en-GB"/>
        </w:rPr>
        <w:t>Virgin Media Ireland Limited</w:t>
      </w:r>
    </w:p>
    <w:p w14:paraId="76259C8E" w14:textId="1BF3DA8A" w:rsidR="00EF1843" w:rsidRPr="00346DE2" w:rsidRDefault="00EF1843">
      <w:pPr>
        <w:rPr>
          <w:rFonts w:ascii="Arial" w:hAnsi="Arial" w:cs="Arial"/>
          <w:b/>
          <w:bCs/>
          <w:color w:val="000000" w:themeColor="text1"/>
          <w:sz w:val="22"/>
          <w:szCs w:val="22"/>
          <w:lang w:val="en-GB"/>
        </w:rPr>
      </w:pPr>
    </w:p>
    <w:p w14:paraId="26894EF3" w14:textId="77777777" w:rsidR="00EF1843" w:rsidRPr="00EF1843" w:rsidRDefault="00EF1843" w:rsidP="00EF1843">
      <w:pPr>
        <w:numPr>
          <w:ilvl w:val="0"/>
          <w:numId w:val="1"/>
        </w:numPr>
        <w:spacing w:before="100" w:beforeAutospacing="1" w:after="100" w:afterAutospacing="1"/>
        <w:ind w:left="102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EF1843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What is the specific aspect of GDPR that your case study addresses?</w:t>
      </w:r>
    </w:p>
    <w:p w14:paraId="7CA68236" w14:textId="77777777" w:rsidR="00EF1843" w:rsidRPr="00EF1843" w:rsidRDefault="00EF1843" w:rsidP="00EF1843">
      <w:pPr>
        <w:numPr>
          <w:ilvl w:val="0"/>
          <w:numId w:val="1"/>
        </w:numPr>
        <w:spacing w:before="100" w:beforeAutospacing="1" w:after="100" w:afterAutospacing="1"/>
        <w:ind w:left="102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EF1843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How was it resolved?</w:t>
      </w:r>
    </w:p>
    <w:p w14:paraId="1ADE4BD4" w14:textId="3AF43E5F" w:rsidR="00EF1843" w:rsidRPr="00346DE2" w:rsidRDefault="00EF1843" w:rsidP="00EF1843">
      <w:pPr>
        <w:numPr>
          <w:ilvl w:val="0"/>
          <w:numId w:val="1"/>
        </w:numPr>
        <w:spacing w:before="100" w:beforeAutospacing="1" w:after="100" w:afterAutospacing="1"/>
        <w:ind w:left="1020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EF1843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If this was your organisation what steps would you take as an Information Security Manager to mitigate the issue?</w:t>
      </w:r>
    </w:p>
    <w:p w14:paraId="06B74961" w14:textId="1FB82E01" w:rsidR="00A86C82" w:rsidRPr="00346DE2" w:rsidRDefault="00126810" w:rsidP="00122DCA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The Data Protection Commission (DPC) received a complaint from an individual that </w:t>
      </w:r>
      <w:r w:rsidR="00A86C82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was subjected to unsolicited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marketing telephone calls from Virgin Media Ireland Limited</w:t>
      </w:r>
      <w:r w:rsidR="00904BC7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. T</w:t>
      </w:r>
      <w:r w:rsidR="00A86C82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his occurred after the individual requested </w:t>
      </w:r>
      <w:r w:rsidR="00122DCA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more than once </w:t>
      </w:r>
      <w:r w:rsidR="00A86C82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that the company should </w:t>
      </w:r>
      <w:r w:rsidR="006A5C9C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remove her from their database and </w:t>
      </w:r>
      <w:r w:rsidR="00122DCA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should</w:t>
      </w:r>
      <w:r w:rsidR="006A5C9C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not call her in future</w:t>
      </w:r>
      <w:r w:rsidR="00423228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423228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(DPC, N.D)</w:t>
      </w:r>
      <w:r w:rsidR="006A5C9C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.</w:t>
      </w:r>
      <w:r w:rsidR="00A86C82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An investigation was conducted by</w:t>
      </w:r>
      <w:r w:rsidR="00106BD8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the DPC which resulted in the </w:t>
      </w:r>
      <w:r w:rsidR="00122DCA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organisation</w:t>
      </w:r>
      <w:r w:rsidR="00106BD8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122DCA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accepting guilt</w:t>
      </w:r>
      <w:r w:rsidR="00AF2315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pleading human error</w:t>
      </w:r>
      <w:r w:rsidR="00122DCA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and consequently </w:t>
      </w:r>
      <w:r w:rsidR="00106BD8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being fined. </w:t>
      </w:r>
    </w:p>
    <w:p w14:paraId="64FB468A" w14:textId="470E5D11" w:rsidR="00122DCA" w:rsidRPr="00346DE2" w:rsidRDefault="00122DCA" w:rsidP="00EF184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In terms of the</w:t>
      </w:r>
      <w:r w:rsidR="0001354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General Data Protection Regulation</w:t>
      </w:r>
      <w:r w:rsidR="0001354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(GDPR)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act, Virgin Media Ireland Limited </w:t>
      </w:r>
      <w:r w:rsidR="006F3F49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wa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 in breach of the following articles</w:t>
      </w:r>
      <w:r w:rsidR="0001354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(Intersoft Consulting, N.D)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:</w:t>
      </w:r>
    </w:p>
    <w:p w14:paraId="56E24099" w14:textId="601E1A2A" w:rsidR="00122DCA" w:rsidRPr="00346DE2" w:rsidRDefault="00122DCA" w:rsidP="00122DC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Article 6</w:t>
      </w:r>
      <w:r w:rsidR="0038482C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: Lawfulness of processing</w:t>
      </w:r>
      <w:r w:rsidR="00857B59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01354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–</w:t>
      </w:r>
      <w:r w:rsidR="00857B59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01354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since the data subject has not given consent to the organisation to process her data.</w:t>
      </w:r>
    </w:p>
    <w:p w14:paraId="7009C573" w14:textId="4FB59209" w:rsidR="0038482C" w:rsidRPr="00346DE2" w:rsidRDefault="0038482C" w:rsidP="00122DC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Article 7: Conditions for consent</w:t>
      </w:r>
      <w:r w:rsidR="0001354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– since Virgin Media Ireland Limited was unable to demonstrate consent received from the complainant.</w:t>
      </w:r>
    </w:p>
    <w:p w14:paraId="73936275" w14:textId="3A8A2F4F" w:rsidR="0038482C" w:rsidRPr="00346DE2" w:rsidRDefault="0038482C" w:rsidP="00122DC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Article 21: Right to Object</w:t>
      </w:r>
      <w:r w:rsidR="0001354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– since the data subject has objected to the processing of her data for direct marketing purposes.</w:t>
      </w:r>
    </w:p>
    <w:p w14:paraId="4DFF441F" w14:textId="2EAD4891" w:rsidR="00986977" w:rsidRPr="00346DE2" w:rsidRDefault="00EF1843" w:rsidP="00706A8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Human errors are </w:t>
      </w:r>
      <w:r w:rsidR="00365E39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inevitably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going to be present in organisation</w:t>
      </w:r>
      <w:r w:rsidR="00251DCE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however the priority should be to minimize th</w:t>
      </w:r>
      <w:r w:rsidR="00365E39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is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as much as possible by implementing </w:t>
      </w:r>
      <w:proofErr w:type="spellStart"/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foolproof</w:t>
      </w:r>
      <w:proofErr w:type="spellEnd"/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policies and procedures. </w:t>
      </w:r>
      <w:r w:rsidR="009B416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Strict policies should exist as well as mandatory GDPR specific training for all </w:t>
      </w:r>
      <w:r w:rsidR="00251DCE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staff in the organisation.</w:t>
      </w:r>
      <w:r w:rsidR="00DD1BB8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482462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Furthermore,</w:t>
      </w:r>
      <w:r w:rsidR="00986977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one of the mitigation techniques </w:t>
      </w:r>
      <w:r w:rsidR="00482462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that could be used is a</w:t>
      </w:r>
      <w:r w:rsidR="00986977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central communication system where all calls route through. Once a call is made, screening occurs to determine if calls have been made to</w:t>
      </w:r>
      <w:r w:rsidR="00482462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a</w:t>
      </w:r>
      <w:r w:rsidR="00986977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subscriber previously</w:t>
      </w:r>
      <w:r w:rsidR="00AF2315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.</w:t>
      </w:r>
      <w:r w:rsidR="00986977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7D4C37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In addition, t</w:t>
      </w:r>
      <w:r w:rsidR="00365E39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he Information Commissioners Office (ICO, </w:t>
      </w:r>
      <w:r w:rsidR="00533448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2020</w:t>
      </w:r>
      <w:r w:rsidR="00365E39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) mentions that evidence of consent should be kept</w:t>
      </w:r>
      <w:r w:rsidR="00412196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.</w:t>
      </w:r>
      <w:r w:rsidR="00365E39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412196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Consent in terms of telemarketing</w:t>
      </w:r>
      <w:r w:rsidR="00365E39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can be achieved by calls being recorded </w:t>
      </w:r>
      <w:r w:rsidR="006E5C9E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(consent for call recording is also required)</w:t>
      </w:r>
      <w:r w:rsidR="007D4C37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.</w:t>
      </w:r>
    </w:p>
    <w:p w14:paraId="43DD4117" w14:textId="72B3CF0E" w:rsidR="00986977" w:rsidRPr="00346DE2" w:rsidRDefault="00986977" w:rsidP="00EF184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771B3C40" w14:textId="77777777" w:rsidR="00AD558E" w:rsidRPr="00346DE2" w:rsidRDefault="00AD558E" w:rsidP="00EF184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</w:p>
    <w:p w14:paraId="7B47DCFB" w14:textId="76BED4FB" w:rsidR="00986977" w:rsidRPr="00346DE2" w:rsidRDefault="00126810" w:rsidP="00EF184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References</w:t>
      </w:r>
    </w:p>
    <w:p w14:paraId="11FD9CD2" w14:textId="132F51B3" w:rsidR="00126810" w:rsidRPr="00346DE2" w:rsidRDefault="00126810" w:rsidP="00EF184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DPC (</w:t>
      </w:r>
      <w:r w:rsidR="00706A83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N.D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) Data Protection Commission Case Studies</w:t>
      </w:r>
      <w:r w:rsidR="00D659B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, Pre GDPR – 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2017</w:t>
      </w:r>
      <w:r w:rsidR="00D659B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. Available from: </w:t>
      </w:r>
      <w:hyperlink r:id="rId7" w:history="1">
        <w:r w:rsidR="00D659B4" w:rsidRPr="00346DE2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  <w:lang w:eastAsia="en-GB"/>
          </w:rPr>
          <w:t>https://www.dataprotection.ie/en/pre-gdpr/case-studies#201712</w:t>
        </w:r>
      </w:hyperlink>
      <w:r w:rsidR="00D659B4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="00AF2315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[Accessed 22 January 2022]</w:t>
      </w:r>
      <w:r w:rsidR="00AF2315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.</w:t>
      </w:r>
    </w:p>
    <w:p w14:paraId="216645BA" w14:textId="195E01F8" w:rsidR="00D659B4" w:rsidRPr="00346DE2" w:rsidRDefault="00013544" w:rsidP="00EF1843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Intersoft Consulting</w:t>
      </w:r>
      <w:r w:rsidR="00AF2315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(</w:t>
      </w:r>
      <w:r w:rsidR="00706A83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N.D</w:t>
      </w:r>
      <w:r w:rsidR="00AF2315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) General Data Protection Regulation. Available from: </w:t>
      </w:r>
      <w:hyperlink r:id="rId8" w:history="1">
        <w:r w:rsidR="00AF2315" w:rsidRPr="00346DE2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  <w:lang w:eastAsia="en-GB"/>
          </w:rPr>
          <w:t>https</w:t>
        </w:r>
        <w:r w:rsidR="00AF2315" w:rsidRPr="00346DE2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  <w:lang w:eastAsia="en-GB"/>
          </w:rPr>
          <w:t>:</w:t>
        </w:r>
        <w:r w:rsidR="00AF2315" w:rsidRPr="00346DE2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  <w:lang w:eastAsia="en-GB"/>
          </w:rPr>
          <w:t>//gdpr-info.eu/art-95-gdpr/</w:t>
        </w:r>
      </w:hyperlink>
      <w:r w:rsidR="00AF2315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[Accessed 22 January 2022].</w:t>
      </w:r>
    </w:p>
    <w:p w14:paraId="161B0F2A" w14:textId="107680F2" w:rsidR="00D504FD" w:rsidRPr="00346DE2" w:rsidRDefault="006E5C9E" w:rsidP="00AD558E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ICO (</w:t>
      </w:r>
      <w:r w:rsidR="00533448"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2020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) Guide to the General Data Protection Regulation (GDPR). Available from: </w:t>
      </w:r>
      <w:hyperlink r:id="rId9" w:history="1">
        <w:r w:rsidRPr="00346DE2">
          <w:rPr>
            <w:rStyle w:val="Hyperlink"/>
            <w:rFonts w:ascii="Arial" w:eastAsia="Times New Roman" w:hAnsi="Arial" w:cs="Arial"/>
            <w:color w:val="000000" w:themeColor="text1"/>
            <w:sz w:val="22"/>
            <w:szCs w:val="22"/>
            <w:lang w:eastAsia="en-GB"/>
          </w:rPr>
          <w:t>https://ico.org.uk/for-organisations/guide-to-data-protection/guide-to-the-general-data-protection-regulation-gdpr/lawful-basis-for-processing/consent/</w:t>
        </w:r>
      </w:hyperlink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</w:t>
      </w:r>
      <w:r w:rsidRPr="00346DE2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[Accessed 22 January 2022].</w:t>
      </w:r>
    </w:p>
    <w:sectPr w:rsidR="00D504FD" w:rsidRPr="00346D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1A8B8" w14:textId="77777777" w:rsidR="00865040" w:rsidRDefault="00865040" w:rsidP="00EF1843">
      <w:r>
        <w:separator/>
      </w:r>
    </w:p>
  </w:endnote>
  <w:endnote w:type="continuationSeparator" w:id="0">
    <w:p w14:paraId="0D04A022" w14:textId="77777777" w:rsidR="00865040" w:rsidRDefault="00865040" w:rsidP="00EF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FC456" w14:textId="77777777" w:rsidR="00EF1843" w:rsidRDefault="00EF18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8687C7" wp14:editId="1913D01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75A097" w14:textId="77777777" w:rsidR="00EF1843" w:rsidRPr="00EF1843" w:rsidRDefault="00EF184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EF1843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687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fill o:detectmouseclick="t"/>
              <v:textbox style="mso-fit-shape-to-text:t" inset="15pt,0,0,0">
                <w:txbxContent>
                  <w:p w14:paraId="2475A097" w14:textId="77777777" w:rsidR="00EF1843" w:rsidRPr="00EF1843" w:rsidRDefault="00EF1843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EF1843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8B7E" w14:textId="77777777" w:rsidR="00EF1843" w:rsidRDefault="00EF18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2299F6" wp14:editId="52792E29">
              <wp:simplePos x="0" y="0"/>
              <wp:positionH relativeFrom="leftMargin">
                <wp:align>left</wp:align>
              </wp:positionH>
              <wp:positionV relativeFrom="paragraph">
                <wp:posOffset>1905</wp:posOffset>
              </wp:positionV>
              <wp:extent cx="443865" cy="443865"/>
              <wp:effectExtent l="0" t="0" r="8255" b="5715"/>
              <wp:wrapSquare wrapText="bothSides"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CCA77" w14:textId="77777777" w:rsidR="00EF1843" w:rsidRPr="00EF1843" w:rsidRDefault="00EF184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EF1843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299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.1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" filled="f" stroked="f">
              <v:fill o:detectmouseclick="t"/>
              <v:textbox style="mso-fit-shape-to-text:t" inset="15pt,0,0,0">
                <w:txbxContent>
                  <w:p w14:paraId="105CCA77" w14:textId="77777777" w:rsidR="00EF1843" w:rsidRPr="00EF1843" w:rsidRDefault="00EF1843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EF1843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60CB" w14:textId="77777777" w:rsidR="00EF1843" w:rsidRDefault="00EF18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ECB2CA" wp14:editId="4C93A55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5715"/>
              <wp:wrapSquare wrapText="bothSides"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3A7F53" w14:textId="77777777" w:rsidR="00EF1843" w:rsidRPr="00EF1843" w:rsidRDefault="00EF184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EF1843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ECB2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fill o:detectmouseclick="t"/>
              <v:textbox style="mso-fit-shape-to-text:t" inset="15pt,0,0,0">
                <w:txbxContent>
                  <w:p w14:paraId="573A7F53" w14:textId="77777777" w:rsidR="00EF1843" w:rsidRPr="00EF1843" w:rsidRDefault="00EF1843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EF1843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688A" w14:textId="77777777" w:rsidR="00865040" w:rsidRDefault="00865040" w:rsidP="00EF1843">
      <w:r>
        <w:separator/>
      </w:r>
    </w:p>
  </w:footnote>
  <w:footnote w:type="continuationSeparator" w:id="0">
    <w:p w14:paraId="37341046" w14:textId="77777777" w:rsidR="00865040" w:rsidRDefault="00865040" w:rsidP="00EF1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537D" w14:textId="77777777" w:rsidR="00EF1843" w:rsidRDefault="00EF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366B" w14:textId="77777777" w:rsidR="00EF1843" w:rsidRDefault="00EF18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D6B93" w14:textId="77777777" w:rsidR="00EF1843" w:rsidRDefault="00EF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412"/>
    <w:multiLevelType w:val="hybridMultilevel"/>
    <w:tmpl w:val="DAB61A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77DB8"/>
    <w:multiLevelType w:val="multilevel"/>
    <w:tmpl w:val="9B7EBFE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3"/>
    <w:rsid w:val="00013544"/>
    <w:rsid w:val="000C5D8E"/>
    <w:rsid w:val="00106BD8"/>
    <w:rsid w:val="00122DCA"/>
    <w:rsid w:val="00126810"/>
    <w:rsid w:val="0020668B"/>
    <w:rsid w:val="00251DCE"/>
    <w:rsid w:val="00346DE2"/>
    <w:rsid w:val="00365E39"/>
    <w:rsid w:val="0038482C"/>
    <w:rsid w:val="00412196"/>
    <w:rsid w:val="00423228"/>
    <w:rsid w:val="00477445"/>
    <w:rsid w:val="00482462"/>
    <w:rsid w:val="00533448"/>
    <w:rsid w:val="005B70B0"/>
    <w:rsid w:val="006A1982"/>
    <w:rsid w:val="006A5C9C"/>
    <w:rsid w:val="006E5C9E"/>
    <w:rsid w:val="006F3F49"/>
    <w:rsid w:val="00706A83"/>
    <w:rsid w:val="007955A9"/>
    <w:rsid w:val="007D4C37"/>
    <w:rsid w:val="00857B59"/>
    <w:rsid w:val="00865040"/>
    <w:rsid w:val="00904BC7"/>
    <w:rsid w:val="00986977"/>
    <w:rsid w:val="009B4164"/>
    <w:rsid w:val="00A86C82"/>
    <w:rsid w:val="00AD558E"/>
    <w:rsid w:val="00AF2315"/>
    <w:rsid w:val="00D504FD"/>
    <w:rsid w:val="00D659B4"/>
    <w:rsid w:val="00DD1BB8"/>
    <w:rsid w:val="00E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1718B1"/>
  <w15:chartTrackingRefBased/>
  <w15:docId w15:val="{A24E969A-1601-C348-9049-98C1166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8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843"/>
  </w:style>
  <w:style w:type="paragraph" w:styleId="Footer">
    <w:name w:val="footer"/>
    <w:basedOn w:val="Normal"/>
    <w:link w:val="FooterChar"/>
    <w:uiPriority w:val="99"/>
    <w:unhideWhenUsed/>
    <w:rsid w:val="00EF18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843"/>
  </w:style>
  <w:style w:type="character" w:styleId="Hyperlink">
    <w:name w:val="Hyperlink"/>
    <w:basedOn w:val="DefaultParagraphFont"/>
    <w:uiPriority w:val="99"/>
    <w:unhideWhenUsed/>
    <w:rsid w:val="00D65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5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pr-info.eu/art-95-gdp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dataprotection.ie/en/pre-gdpr/case-studies#20171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co.org.uk/for-organisations/guide-to-data-protection/guide-to-the-general-data-protection-regulation-gdpr/lawful-basis-for-processing/consen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Zihaad, Vodacom (External)</dc:creator>
  <cp:keywords/>
  <dc:description/>
  <cp:lastModifiedBy>Khan, Zihaad, Vodacom (External)</cp:lastModifiedBy>
  <cp:revision>14</cp:revision>
  <dcterms:created xsi:type="dcterms:W3CDTF">2022-01-22T11:04:00Z</dcterms:created>
  <dcterms:modified xsi:type="dcterms:W3CDTF">2022-01-26T09:26:00Z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2022-01-22T11:04:39Z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fe710467-937a-4820-b01d-047289aca052</vt:lpwstr>
  </property>
  <property fmtid="{D5CDD505-2E9C-101B-9397-08002B2CF9AE}" pid="11" name="MSIP_Label_0359f705-2ba0-454b-9cfc-6ce5bcaac040_ContentBits">
    <vt:lpwstr>2</vt:lpwstr>
  </property>
</Properties>
</file>