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期中课程报告star-join-多表连接实现与实验"/>
    <w:p>
      <w:pPr>
        <w:pStyle w:val="Heading1"/>
      </w:pPr>
      <w:r>
        <w:t xml:space="preserve">期中课程报告：Star Join 多表连接实现与实验</w:t>
      </w:r>
    </w:p>
    <w:bookmarkStart w:id="20" w:name="实验目标"/>
    <w:p>
      <w:pPr>
        <w:pStyle w:val="Heading2"/>
      </w:pPr>
      <w:r>
        <w:t xml:space="preserve">1. 实验目标</w:t>
      </w:r>
    </w:p>
    <w:p>
      <w:pPr>
        <w:pStyle w:val="FirstParagraph"/>
      </w:pPr>
      <w:r>
        <w:t xml:space="preserve">期中任务要求在原始 main-memory join 框架中增加 starjoin 算法，支持：</w:t>
      </w:r>
    </w:p>
    <w:p>
      <w:pPr>
        <w:pStyle w:val="SourceCode"/>
      </w:pP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npo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vj 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并比较三种执行方式：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npo</w:t>
      </w:r>
      <w:r>
        <w:t xml:space="preserve">: pipeline hash probe，不物化中间结果。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vj</w:t>
      </w:r>
      <w:r>
        <w:t xml:space="preserve">: pipeline vector lookup，不物化中间结果。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</w:t>
      </w:r>
      <w:r>
        <w:t xml:space="preserve">: 物化中间表，再执行第二次连接。</w:t>
      </w:r>
    </w:p>
    <w:bookmarkEnd w:id="20"/>
    <w:bookmarkStart w:id="21" w:name="数据模型"/>
    <w:p>
      <w:pPr>
        <w:pStyle w:val="Heading2"/>
      </w:pPr>
      <w:r>
        <w:t xml:space="preserve">2. 数据模型</w:t>
      </w:r>
    </w:p>
    <w:p>
      <w:pPr>
        <w:pStyle w:val="FirstParagraph"/>
      </w:pPr>
      <w:r>
        <w:t xml:space="preserve">按照作业要求生成三张表：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p>
            <w:pPr>
              <w:pStyle w:val="Compact"/>
              <w:jc w:val="right"/>
            </w:pPr>
            <w:r>
              <w:t xml:space="preserve">规模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&lt;FKO, FKPS, PAYLOAD&gt;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sf * 6000000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&lt;PK, PAYLOAD&gt;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sf * 1500000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&lt;PK, PAYLOAD&gt;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sf * 800000</w:t>
            </w:r>
          </w:p>
        </w:tc>
      </w:tr>
    </w:tbl>
    <w:p>
      <w:pPr>
        <w:pStyle w:val="BodyText"/>
      </w:pPr>
      <w:r>
        <w:t xml:space="preserve">当前代码中 tuple 结构只有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两列，因此 L 表用：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tuple.key</w:t>
      </w:r>
      <w:r>
        <w:t xml:space="preserve"> </w:t>
      </w:r>
      <w:r>
        <w:t xml:space="preserve">表示</w:t>
      </w:r>
      <w:r>
        <w:t xml:space="preserve"> </w:t>
      </w:r>
      <w:r>
        <w:rPr>
          <w:rStyle w:val="VerbatimChar"/>
        </w:rPr>
        <w:t xml:space="preserve">FKO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tuple.payload</w:t>
      </w:r>
      <w:r>
        <w:t xml:space="preserve"> </w:t>
      </w:r>
      <w:r>
        <w:t xml:space="preserve">表示</w:t>
      </w:r>
      <w:r>
        <w:t xml:space="preserve"> </w:t>
      </w:r>
      <w:r>
        <w:rPr>
          <w:rStyle w:val="VerbatimChar"/>
        </w:rPr>
        <w:t xml:space="preserve">FKPS</w:t>
      </w:r>
    </w:p>
    <w:p>
      <w:pPr>
        <w:pStyle w:val="FirstParagraph"/>
      </w:pPr>
      <w:r>
        <w:t xml:space="preserve">payload 常量按作业要求设置：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O.PAYLOAD = 3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L.PAYLOAD = 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PS.PAYLOAD = 1</w:t>
      </w:r>
    </w:p>
    <w:p>
      <w:pPr>
        <w:pStyle w:val="FirstParagraph"/>
      </w:pPr>
      <w:r>
        <w:t xml:space="preserve">查询为：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(O.PAYLOAD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(L.PAYLOAD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PS.PAYLOAD))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L, O, PS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L.FKO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O.PK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L.FKPS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PS.PK;</w:t>
      </w:r>
    </w:p>
    <w:p>
      <w:pPr>
        <w:pStyle w:val="FirstParagraph"/>
      </w:pPr>
      <w:r>
        <w:t xml:space="preserve">注意：PDF 中同时写到</w:t>
      </w:r>
      <w:r>
        <w:t xml:space="preserve">“</w:t>
      </w:r>
      <w:r>
        <w:t xml:space="preserve">计算结果与记录数量相同</w:t>
      </w:r>
      <w:r>
        <w:t xml:space="preserve">”</w:t>
      </w:r>
      <w:r>
        <w:t xml:space="preserve">。但按上述表达式和常量，每行贡献为</w:t>
      </w:r>
      <w:r>
        <w:t xml:space="preserve"> </w:t>
      </w:r>
      <w:r>
        <w:rPr>
          <w:rStyle w:val="VerbatimChar"/>
        </w:rPr>
        <w:t xml:space="preserve">3 - (1 - 1) = 3</w:t>
      </w:r>
      <w:r>
        <w:t xml:space="preserve">，因此当前程序输出：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matches = sf * 6000000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aggregate_sum = matches * 3</w:t>
      </w:r>
    </w:p>
    <w:p>
      <w:pPr>
        <w:pStyle w:val="FirstParagraph"/>
      </w:pPr>
      <w:r>
        <w:t xml:space="preserve">报告使用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验证连接完整性，同时保留</w:t>
      </w:r>
      <w:r>
        <w:t xml:space="preserve"> </w:t>
      </w:r>
      <w:r>
        <w:rPr>
          <w:rStyle w:val="VerbatimChar"/>
        </w:rPr>
        <w:t xml:space="preserve">aggregate_sum</w:t>
      </w:r>
      <w:r>
        <w:t xml:space="preserve"> </w:t>
      </w:r>
      <w:r>
        <w:t xml:space="preserve">验证表达式计算。</w:t>
      </w:r>
    </w:p>
    <w:bookmarkEnd w:id="21"/>
    <w:bookmarkStart w:id="25" w:name="实现说明"/>
    <w:p>
      <w:pPr>
        <w:pStyle w:val="Heading2"/>
      </w:pPr>
      <w:r>
        <w:t xml:space="preserve">3. 实现说明</w:t>
      </w:r>
    </w:p>
    <w:p>
      <w:pPr>
        <w:pStyle w:val="FirstParagraph"/>
      </w:pPr>
      <w:r>
        <w:t xml:space="preserve">实现文件：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src/starjoin.h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src/starjoin.c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src/main.c</w:t>
      </w:r>
    </w:p>
    <w:bookmarkStart w:id="22" w:name="npo-模式"/>
    <w:p>
      <w:pPr>
        <w:pStyle w:val="Heading3"/>
      </w:pPr>
      <w:r>
        <w:t xml:space="preserve">npo 模式</w:t>
      </w:r>
    </w:p>
    <w:p>
      <w:pPr>
        <w:pStyle w:val="FirstParagraph"/>
      </w:pPr>
      <w:r>
        <w:t xml:space="preserve">npo 模式先为 O 和 PS 构造 hash table，然后扫描 L 表。每个 L tuple 同时 probe O 和 PS，payload 计算只保存在寄存器变量中，不物化中间结果。</w:t>
      </w:r>
    </w:p>
    <w:bookmarkEnd w:id="22"/>
    <w:bookmarkStart w:id="23" w:name="vj-模式"/>
    <w:p>
      <w:pPr>
        <w:pStyle w:val="Heading3"/>
      </w:pPr>
      <w:r>
        <w:t xml:space="preserve">vj 模式</w:t>
      </w:r>
    </w:p>
    <w:p>
      <w:pPr>
        <w:pStyle w:val="FirstParagraph"/>
      </w:pPr>
      <w:r>
        <w:t xml:space="preserve">vj 模式利用 O.PK 和 PS.PK 都是连续整数的特点，为 O 和 PS 构造 vector index。扫描 L 时直接用 FKO/FKPS 作为下标访问 vector。</w:t>
      </w:r>
      <w:r>
        <w:rPr>
          <w:rStyle w:val="VerbatimChar"/>
        </w:rPr>
        <w:t xml:space="preserve">--payload-width=1|2|4</w:t>
      </w:r>
      <w:r>
        <w:t xml:space="preserve"> </w:t>
      </w:r>
      <w:r>
        <w:t xml:space="preserve">控制 vector payload 宽度。</w:t>
      </w:r>
    </w:p>
    <w:bookmarkEnd w:id="23"/>
    <w:bookmarkStart w:id="24" w:name="pro-模式"/>
    <w:p>
      <w:pPr>
        <w:pStyle w:val="Heading3"/>
      </w:pPr>
      <w:r>
        <w:t xml:space="preserve">pro 模式</w:t>
      </w:r>
    </w:p>
    <w:p>
      <w:pPr>
        <w:pStyle w:val="FirstParagraph"/>
      </w:pPr>
      <w:r>
        <w:t xml:space="preserve">pro 模式采用物化处理：</w:t>
      </w:r>
    </w:p>
    <w:p>
      <w:pPr>
        <w:numPr>
          <w:ilvl w:val="0"/>
          <w:numId w:val="1006"/>
        </w:numPr>
        <w:pStyle w:val="Compact"/>
      </w:pPr>
      <w:r>
        <w:t xml:space="preserve">L 与 PS 连接，生成临时表</w:t>
      </w:r>
      <w:r>
        <w:t xml:space="preserve"> </w:t>
      </w:r>
      <w:r>
        <w:rPr>
          <w:rStyle w:val="VerbatimChar"/>
        </w:rPr>
        <w:t xml:space="preserve">temp&lt;FKO,TEMPPAYLOAD&gt;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临时表再与 O 连接，完成最终聚合。</w:t>
      </w:r>
    </w:p>
    <w:p>
      <w:pPr>
        <w:pStyle w:val="FirstParagraph"/>
      </w:pPr>
      <w:r>
        <w:t xml:space="preserve">代码支持</w:t>
      </w:r>
      <w:r>
        <w:t xml:space="preserve"> </w:t>
      </w:r>
      <w:r>
        <w:rPr>
          <w:rStyle w:val="VerbatimChar"/>
        </w:rPr>
        <w:t xml:space="preserve">--starjoin-pro-order=0|1</w:t>
      </w:r>
      <w:r>
        <w:t xml:space="preserve">，默认先执行 L-PS。</w:t>
      </w:r>
    </w:p>
    <w:bookmarkEnd w:id="24"/>
    <w:bookmarkEnd w:id="25"/>
    <w:bookmarkStart w:id="26" w:name="正确性验证"/>
    <w:p>
      <w:pPr>
        <w:pStyle w:val="Heading2"/>
      </w:pPr>
      <w:r>
        <w:t xml:space="preserve">4. 正确性验证</w:t>
      </w:r>
    </w:p>
    <w:p>
      <w:pPr>
        <w:pStyle w:val="FirstParagraph"/>
      </w:pPr>
      <w:r>
        <w:t xml:space="preserve">使用：</w:t>
      </w:r>
    </w:p>
    <w:p>
      <w:pPr>
        <w:pStyle w:val="SourceCode"/>
      </w:pPr>
      <w:r>
        <w:rPr>
          <w:rStyle w:val="ExtensionTok"/>
        </w:rPr>
        <w:t xml:space="preserve">scripts/self_check_assignment.sh</w:t>
      </w:r>
    </w:p>
    <w:p>
      <w:pPr>
        <w:pStyle w:val="FirstParagraph"/>
      </w:pPr>
      <w:r>
        <w:t xml:space="preserve">其中包含：</w:t>
      </w:r>
    </w:p>
    <w:p>
      <w:pPr>
        <w:pStyle w:val="SourceCode"/>
      </w:pP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npo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--starjoin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vj  </w:t>
      </w:r>
      <w:r>
        <w:rPr>
          <w:rStyle w:val="AttributeTok"/>
        </w:rPr>
        <w:t xml:space="preserve">--sf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t xml:space="preserve">自检结果：</w:t>
      </w:r>
    </w:p>
    <w:p>
      <w:pPr>
        <w:pStyle w:val="SourceCode"/>
      </w:pPr>
      <w:r>
        <w:rPr>
          <w:rStyle w:val="VerbatimChar"/>
        </w:rPr>
        <w:t xml:space="preserve">[PASS] assignment self-check passed</w:t>
      </w:r>
    </w:p>
    <w:p>
      <w:pPr>
        <w:pStyle w:val="FirstParagraph"/>
      </w:pPr>
      <w:r>
        <w:t xml:space="preserve">所有 starjoin 模式在</w:t>
      </w:r>
      <w:r>
        <w:t xml:space="preserve"> </w:t>
      </w:r>
      <w:r>
        <w:rPr>
          <w:rStyle w:val="VerbatimChar"/>
        </w:rPr>
        <w:t xml:space="preserve">sf=1</w:t>
      </w:r>
      <w:r>
        <w:t xml:space="preserve"> </w:t>
      </w:r>
      <w:r>
        <w:t xml:space="preserve">下均输出：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matches = 6000000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aggregate_sum = 18000000</w:t>
      </w:r>
    </w:p>
    <w:bookmarkEnd w:id="26"/>
    <w:bookmarkStart w:id="27" w:name="实验配置"/>
    <w:p>
      <w:pPr>
        <w:pStyle w:val="Heading2"/>
      </w:pPr>
      <w:r>
        <w:t xml:space="preserve">5. 实验配置</w:t>
      </w:r>
    </w:p>
    <w:p>
      <w:pPr>
        <w:pStyle w:val="FirstParagraph"/>
      </w:pPr>
      <w:r>
        <w:t xml:space="preserve">本报告以作业要求的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作为正式实验规模，64 线程运行三种 starjoin 模式：</w:t>
      </w:r>
    </w:p>
    <w:p>
      <w:pPr>
        <w:pStyle w:val="SourceCode"/>
      </w:pPr>
      <w:r>
        <w:rPr>
          <w:rStyle w:val="ExtensionTok"/>
        </w:rPr>
        <w:t xml:space="preserve">scripts/run_starjoin_comparison.sh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--sf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--threads-list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"npo pro vj"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--prefetch-distances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--payload-width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starjoin-sf100-t64.csv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--log-dir</w:t>
      </w:r>
      <w:r>
        <w:rPr>
          <w:rStyle w:val="NormalTok"/>
        </w:rPr>
        <w:t xml:space="preserve"> starjoin-sf100-t64.logs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</w:t>
      </w:r>
    </w:p>
    <w:p>
      <w:pPr>
        <w:pStyle w:val="FirstParagraph"/>
      </w:pPr>
      <w:r>
        <w:t xml:space="preserve">NUMA 对比命令：</w:t>
      </w:r>
    </w:p>
    <w:p>
      <w:pPr>
        <w:pStyle w:val="SourceCode"/>
      </w:pPr>
      <w:r>
        <w:rPr>
          <w:rStyle w:val="ExtensionTok"/>
        </w:rPr>
        <w:t xml:space="preserve">scripts/run_starjoin_comparison.sh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--sf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--threads-list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"npo pro vj"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--prefetch-distances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--payload-width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--basic-numa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starjoin-sf100-t64-basicnuma.csv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--log-dir</w:t>
      </w:r>
      <w:r>
        <w:rPr>
          <w:rStyle w:val="NormalTok"/>
        </w:rPr>
        <w:t xml:space="preserve"> starjoin-sf100-t64-basicnuma.logs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</w:t>
      </w:r>
    </w:p>
    <w:p>
      <w:pPr>
        <w:pStyle w:val="FirstParagraph"/>
      </w:pPr>
      <w:r>
        <w:t xml:space="preserve">prefetch 对比命令：</w:t>
      </w:r>
    </w:p>
    <w:p>
      <w:pPr>
        <w:pStyle w:val="SourceCode"/>
      </w:pPr>
      <w:r>
        <w:rPr>
          <w:rStyle w:val="ExtensionTok"/>
        </w:rPr>
        <w:t xml:space="preserve">scripts/run_starjoin_comparison.sh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--sf</w:t>
      </w:r>
      <w:r>
        <w:rPr>
          <w:rStyle w:val="NormalTok"/>
        </w:rPr>
        <w:t xml:space="preserve"> 100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--threads-list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"npo vj"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--prefetch-distances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8 32"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--payload-width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starjoin-sf100-prefetch-t64.csv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--log-dir</w:t>
      </w:r>
      <w:r>
        <w:rPr>
          <w:rStyle w:val="NormalTok"/>
        </w:rPr>
        <w:t xml:space="preserve"> starjoin-sf100-prefetch-t64.logs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</w:t>
      </w:r>
    </w:p>
    <w:p>
      <w:pPr>
        <w:pStyle w:val="FirstParagraph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实验点均为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。原始 CSV 保存为：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docs/data/starjoin_sf100_t64.csv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docs/data/starjoin_sf100_t64_basicnuma.csv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docs/data/starjoin_sf100_prefetch_t64.csv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docs/data/starjoin_sf100_pro_order.csv</w:t>
      </w:r>
    </w:p>
    <w:bookmarkEnd w:id="27"/>
    <w:bookmarkStart w:id="28" w:name="sf100-性能结果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性能结果</w:t>
      </w:r>
    </w:p>
    <w:p>
      <w:pPr>
        <w:pStyle w:val="FirstParagraph"/>
      </w:pPr>
      <w:r>
        <w:t xml:space="preserve">单位：ms。VJ 使用</w:t>
      </w:r>
      <w:r>
        <w:t xml:space="preserve"> </w:t>
      </w:r>
      <w:r>
        <w:rPr>
          <w:rStyle w:val="VerbatimChar"/>
        </w:rPr>
        <w:t xml:space="preserve">payload_width=1</w:t>
      </w:r>
      <w:r>
        <w:t xml:space="preserve">。三种模式均输出</w:t>
      </w:r>
      <w:r>
        <w:t xml:space="preserve"> </w:t>
      </w:r>
      <w:r>
        <w:rPr>
          <w:rStyle w:val="VerbatimChar"/>
        </w:rPr>
        <w:t xml:space="preserve">matches=600000000</w:t>
      </w:r>
      <w:r>
        <w:t xml:space="preserve">、</w:t>
      </w:r>
      <w:r>
        <w:rPr>
          <w:rStyle w:val="VerbatimChar"/>
        </w:rPr>
        <w:t xml:space="preserve">aggregate_sum=1800000000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  <w:tc>
          <w:p>
            <w:pPr>
              <w:pStyle w:val="Compact"/>
              <w:jc w:val="right"/>
            </w:pPr>
            <w:r>
              <w:t xml:space="preserve">matches</w:t>
            </w:r>
          </w:p>
        </w:tc>
        <w:tc>
          <w:p>
            <w:pPr>
              <w:pStyle w:val="Compact"/>
              <w:jc w:val="right"/>
            </w:pPr>
            <w:r>
              <w:t xml:space="preserve">aggregate_sum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15552.289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  <w:tc>
          <w:p>
            <w:pPr>
              <w:pStyle w:val="Compact"/>
              <w:jc w:val="right"/>
            </w:pPr>
            <w:r>
              <w:t xml:space="preserve">1800000000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17355.132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  <w:tc>
          <w:p>
            <w:pPr>
              <w:pStyle w:val="Compact"/>
              <w:jc w:val="right"/>
            </w:pPr>
            <w:r>
              <w:t xml:space="preserve">1800000000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</w:t>
            </w:r>
          </w:p>
        </w:tc>
        <w:tc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t xml:space="preserve">3645.527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  <w:tc>
          <w:p>
            <w:pPr>
              <w:pStyle w:val="Compact"/>
              <w:jc w:val="right"/>
            </w:pPr>
            <w:r>
              <w:t xml:space="preserve">1800000000</w:t>
            </w:r>
          </w:p>
        </w:tc>
      </w:tr>
    </w:tbl>
    <w:p>
      <w:pPr>
        <w:pStyle w:val="BodyText"/>
      </w:pPr>
      <w:r>
        <w:t xml:space="preserve">VJ 比 NPO 快约 4.27 倍，比 PRO 快约 4.76 倍。原因是 O/PS 维表主键连续，VJ 把 hash probe 变成数组下标访问，避免了链式 hash table 访问和物化中间结果。</w:t>
      </w:r>
    </w:p>
    <w:bookmarkEnd w:id="28"/>
    <w:bookmarkStart w:id="29" w:name="空间效率"/>
    <w:p>
      <w:pPr>
        <w:pStyle w:val="Heading2"/>
      </w:pPr>
      <w:r>
        <w:t xml:space="preserve">7. 空间效率</w:t>
      </w:r>
    </w:p>
    <w:p>
      <w:pPr>
        <w:pStyle w:val="FirstParagraph"/>
      </w:pPr>
      <w:r>
        <w:rPr>
          <w:rStyle w:val="VerbatimChar"/>
        </w:rPr>
        <w:t xml:space="preserve">sf=100</w:t>
      </w:r>
      <w:r>
        <w:t xml:space="preserve"> </w:t>
      </w:r>
      <w:r>
        <w:t xml:space="preserve">时输入数据大小为 6,640,000,000 bytes。三种模式在 64 线程下的空间统计：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right"/>
            </w:pPr>
            <w:r>
              <w:t xml:space="preserve">input bytes</w:t>
            </w:r>
          </w:p>
        </w:tc>
        <w:tc>
          <w:p>
            <w:pPr>
              <w:pStyle w:val="Compact"/>
              <w:jc w:val="right"/>
            </w:pPr>
            <w:r>
              <w:t xml:space="preserve">aux bytes</w:t>
            </w:r>
          </w:p>
        </w:tc>
        <w:tc>
          <w:p>
            <w:pPr>
              <w:pStyle w:val="Compact"/>
              <w:jc w:val="right"/>
            </w:pPr>
            <w:r>
              <w:t xml:space="preserve">total bytes</w:t>
            </w:r>
          </w:p>
        </w:tc>
        <w:tc>
          <w:p>
            <w:pPr>
              <w:pStyle w:val="Compact"/>
              <w:jc w:val="right"/>
            </w:pPr>
            <w:r>
              <w:t xml:space="preserve">aux/input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6,640,000,000</w:t>
            </w:r>
          </w:p>
        </w:tc>
        <w:tc>
          <w:p>
            <w:pPr>
              <w:pStyle w:val="Compact"/>
              <w:jc w:val="right"/>
            </w:pPr>
            <w:r>
              <w:t xml:space="preserve">9,663,676,416</w:t>
            </w:r>
          </w:p>
        </w:tc>
        <w:tc>
          <w:p>
            <w:pPr>
              <w:pStyle w:val="Compact"/>
              <w:jc w:val="right"/>
            </w:pPr>
            <w:r>
              <w:t xml:space="preserve">16,303,676,416</w:t>
            </w:r>
          </w:p>
        </w:tc>
        <w:tc>
          <w:p>
            <w:pPr>
              <w:pStyle w:val="Compact"/>
              <w:jc w:val="right"/>
            </w:pPr>
            <w:r>
              <w:t xml:space="preserve">1.455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6,640,000,000</w:t>
            </w:r>
          </w:p>
        </w:tc>
        <w:tc>
          <w:p>
            <w:pPr>
              <w:pStyle w:val="Compact"/>
              <w:jc w:val="right"/>
            </w:pPr>
            <w:r>
              <w:t xml:space="preserve">14,463,676,416</w:t>
            </w:r>
          </w:p>
        </w:tc>
        <w:tc>
          <w:p>
            <w:pPr>
              <w:pStyle w:val="Compact"/>
              <w:jc w:val="right"/>
            </w:pPr>
            <w:r>
              <w:t xml:space="preserve">21,103,676,416</w:t>
            </w:r>
          </w:p>
        </w:tc>
        <w:tc>
          <w:p>
            <w:pPr>
              <w:pStyle w:val="Compact"/>
              <w:jc w:val="right"/>
            </w:pPr>
            <w:r>
              <w:t xml:space="preserve">2.178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</w:t>
            </w:r>
          </w:p>
        </w:tc>
        <w:tc>
          <w:p>
            <w:pPr>
              <w:pStyle w:val="Compact"/>
              <w:jc w:val="right"/>
            </w:pPr>
            <w:r>
              <w:t xml:space="preserve">6,640,000,000</w:t>
            </w:r>
          </w:p>
        </w:tc>
        <w:tc>
          <w:p>
            <w:pPr>
              <w:pStyle w:val="Compact"/>
              <w:jc w:val="right"/>
            </w:pPr>
            <w:r>
              <w:t xml:space="preserve">460,000,004</w:t>
            </w:r>
          </w:p>
        </w:tc>
        <w:tc>
          <w:p>
            <w:pPr>
              <w:pStyle w:val="Compact"/>
              <w:jc w:val="right"/>
            </w:pPr>
            <w:r>
              <w:t xml:space="preserve">7,100,000,004</w:t>
            </w:r>
          </w:p>
        </w:tc>
        <w:tc>
          <w:p>
            <w:pPr>
              <w:pStyle w:val="Compact"/>
              <w:jc w:val="right"/>
            </w:pPr>
            <w:r>
              <w:t xml:space="preserve">0.069</w:t>
            </w:r>
          </w:p>
        </w:tc>
      </w:tr>
    </w:tbl>
    <w:p>
      <w:pPr>
        <w:pStyle w:val="BodyText"/>
      </w:pPr>
      <w:r>
        <w:t xml:space="preserve">vj 的空间效率最高，原因是 O/PS 的主键连续，vector index 只需要 present bitmap 和压缩 payload。npo 需要两个 hash table。pro 在此基础上还需要物化中间表，因此空间开销最高。</w:t>
      </w:r>
    </w:p>
    <w:bookmarkEnd w:id="29"/>
    <w:bookmarkStart w:id="30" w:name="numa-与-prefetch"/>
    <w:p>
      <w:pPr>
        <w:pStyle w:val="Heading2"/>
      </w:pPr>
      <w:r>
        <w:t xml:space="preserve">8. NUMA 与 Prefetch</w:t>
      </w:r>
    </w:p>
    <w:p>
      <w:pPr>
        <w:pStyle w:val="FirstParagraph"/>
      </w:pPr>
      <w:r>
        <w:rPr>
          <w:rStyle w:val="VerbatimChar"/>
        </w:rPr>
        <w:t xml:space="preserve">--basic-numa</w:t>
      </w:r>
      <w:r>
        <w:t xml:space="preserve"> </w:t>
      </w:r>
      <w:r>
        <w:t xml:space="preserve">下的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结果：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right"/>
            </w:pPr>
            <w:r>
              <w:t xml:space="preserve">non-NUMA ms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--basic-numa</w:t>
            </w:r>
            <w:r>
              <w:t xml:space="preserve"> </w:t>
            </w:r>
            <w:r>
              <w:t xml:space="preserve">ms</w:t>
            </w:r>
          </w:p>
        </w:tc>
        <w:tc>
          <w:p>
            <w:pPr>
              <w:pStyle w:val="Compact"/>
              <w:jc w:val="right"/>
            </w:pPr>
            <w:r>
              <w:t xml:space="preserve">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15552.289</w:t>
            </w:r>
          </w:p>
        </w:tc>
        <w:tc>
          <w:p>
            <w:pPr>
              <w:pStyle w:val="Compact"/>
              <w:jc w:val="right"/>
            </w:pPr>
            <w:r>
              <w:t xml:space="preserve">16666.803</w:t>
            </w:r>
          </w:p>
        </w:tc>
        <w:tc>
          <w:p>
            <w:pPr>
              <w:pStyle w:val="Compact"/>
              <w:jc w:val="right"/>
            </w:pPr>
            <w:r>
              <w:t xml:space="preserve">+7.2%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17355.132</w:t>
            </w:r>
          </w:p>
        </w:tc>
        <w:tc>
          <w:p>
            <w:pPr>
              <w:pStyle w:val="Compact"/>
              <w:jc w:val="right"/>
            </w:pPr>
            <w:r>
              <w:t xml:space="preserve">18066.061</w:t>
            </w:r>
          </w:p>
        </w:tc>
        <w:tc>
          <w:p>
            <w:pPr>
              <w:pStyle w:val="Compact"/>
              <w:jc w:val="right"/>
            </w:pPr>
            <w:r>
              <w:t xml:space="preserve">+4.1%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</w:t>
            </w:r>
          </w:p>
        </w:tc>
        <w:tc>
          <w:p>
            <w:pPr>
              <w:pStyle w:val="Compact"/>
              <w:jc w:val="right"/>
            </w:pPr>
            <w:r>
              <w:t xml:space="preserve">3645.527</w:t>
            </w:r>
          </w:p>
        </w:tc>
        <w:tc>
          <w:p>
            <w:pPr>
              <w:pStyle w:val="Compact"/>
              <w:jc w:val="right"/>
            </w:pPr>
            <w:r>
              <w:t xml:space="preserve">4354.036</w:t>
            </w:r>
          </w:p>
        </w:tc>
        <w:tc>
          <w:p>
            <w:pPr>
              <w:pStyle w:val="Compact"/>
              <w:jc w:val="right"/>
            </w:pPr>
            <w:r>
              <w:t xml:space="preserve">+19.4%</w:t>
            </w:r>
          </w:p>
        </w:tc>
      </w:tr>
    </w:tbl>
    <w:p>
      <w:pPr>
        <w:pStyle w:val="BodyText"/>
      </w:pPr>
      <w:r>
        <w:t xml:space="preserve">在 starjoin 这个任务上，</w:t>
      </w:r>
      <w:r>
        <w:rPr>
          <w:rStyle w:val="VerbatimChar"/>
        </w:rPr>
        <w:t xml:space="preserve">--basic-numa</w:t>
      </w:r>
      <w:r>
        <w:t xml:space="preserve"> </w:t>
      </w:r>
      <w:r>
        <w:t xml:space="preserve">没有带来收益。更可能的原因是维表结构在 probe 阶段被所有线程共享访问，单纯按线程本地分配并不能改善共享维表访问，反而可能增加跨 socket 访问或初始化成本。</w:t>
      </w:r>
    </w:p>
    <w:p>
      <w:pPr>
        <w:pStyle w:val="BodyText"/>
      </w:pPr>
      <w:r>
        <w:t xml:space="preserve">prefetch distance 对比：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prefetch distance</w:t>
            </w:r>
          </w:p>
        </w:tc>
        <w:tc>
          <w:p>
            <w:pPr>
              <w:pStyle w:val="Compact"/>
              <w:jc w:val="right"/>
            </w:pPr>
            <w:r>
              <w:t xml:space="preserve">npo ms</w:t>
            </w:r>
          </w:p>
        </w:tc>
        <w:tc>
          <w:p>
            <w:pPr>
              <w:pStyle w:val="Compact"/>
              <w:jc w:val="right"/>
            </w:pPr>
            <w:r>
              <w:t xml:space="preserve">vj ms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15623.447</w:t>
            </w:r>
          </w:p>
        </w:tc>
        <w:tc>
          <w:p>
            <w:pPr>
              <w:pStyle w:val="Compact"/>
              <w:jc w:val="right"/>
            </w:pPr>
            <w:r>
              <w:t xml:space="preserve">3729.132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15206.068</w:t>
            </w:r>
          </w:p>
        </w:tc>
        <w:tc>
          <w:p>
            <w:pPr>
              <w:pStyle w:val="Compact"/>
              <w:jc w:val="right"/>
            </w:pPr>
            <w:r>
              <w:t xml:space="preserve">3602.398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right"/>
            </w:pPr>
            <w:r>
              <w:t xml:space="preserve">15187.158</w:t>
            </w:r>
          </w:p>
        </w:tc>
        <w:tc>
          <w:p>
            <w:pPr>
              <w:pStyle w:val="Compact"/>
              <w:jc w:val="right"/>
            </w:pPr>
            <w:r>
              <w:t xml:space="preserve">3441.220</w:t>
            </w:r>
          </w:p>
        </w:tc>
      </w:tr>
    </w:tbl>
    <w:p>
      <w:pPr>
        <w:pStyle w:val="BodyText"/>
      </w:pPr>
      <w:r>
        <w:t xml:space="preserve">npo 在 distance 32 时比 distance 0 快约 2.8%。vj 在 distance 32 时比 distance 0 快约 7.7%。说明 starjoin 的 L 表扫描和维表 probe 仍能从适度预取中受益，但收益没有改变 VJ 明显领先的总体结论。</w:t>
      </w:r>
    </w:p>
    <w:bookmarkEnd w:id="30"/>
    <w:bookmarkStart w:id="31" w:name="pro-物化顺序"/>
    <w:p>
      <w:pPr>
        <w:pStyle w:val="Heading2"/>
      </w:pPr>
      <w:r>
        <w:t xml:space="preserve">9. PRO 物化顺序</w:t>
      </w:r>
    </w:p>
    <w:p>
      <w:pPr>
        <w:pStyle w:val="FirstParagraph"/>
      </w:pPr>
      <w:r>
        <w:t xml:space="preserve">代码支持</w:t>
      </w:r>
      <w:r>
        <w:t xml:space="preserve"> </w:t>
      </w:r>
      <w:r>
        <w:rPr>
          <w:rStyle w:val="VerbatimChar"/>
        </w:rPr>
        <w:t xml:space="preserve">--starjoin-pro-order=0|1</w:t>
      </w:r>
      <w:r>
        <w:t xml:space="preserve">，用于比较两种物化顺序。</w:t>
      </w:r>
      <w:r>
        <w:rPr>
          <w:rStyle w:val="VerbatimChar"/>
        </w:rPr>
        <w:t xml:space="preserve">sf=100</w:t>
      </w:r>
      <w:r>
        <w:t xml:space="preserve">、64 线程结果如下：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pro order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  <w:tc>
          <w:p>
            <w:pPr>
              <w:pStyle w:val="Compact"/>
              <w:jc w:val="right"/>
            </w:pPr>
            <w:r>
              <w:t xml:space="preserve">matches</w:t>
            </w:r>
          </w:p>
        </w:tc>
        <w:tc>
          <w:p>
            <w:pPr>
              <w:pStyle w:val="Compact"/>
              <w:jc w:val="right"/>
            </w:pPr>
            <w:r>
              <w:t xml:space="preserve">aggregate_sum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17205.709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  <w:tc>
          <w:p>
            <w:pPr>
              <w:pStyle w:val="Compact"/>
              <w:jc w:val="right"/>
            </w:pPr>
            <w:r>
              <w:t xml:space="preserve">1800000000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17613.673</w:t>
            </w:r>
          </w:p>
        </w:tc>
        <w:tc>
          <w:p>
            <w:pPr>
              <w:pStyle w:val="Compact"/>
              <w:jc w:val="right"/>
            </w:pPr>
            <w:r>
              <w:t xml:space="preserve">600000000</w:t>
            </w:r>
          </w:p>
        </w:tc>
        <w:tc>
          <w:p>
            <w:pPr>
              <w:pStyle w:val="Compact"/>
              <w:jc w:val="right"/>
            </w:pPr>
            <w:r>
              <w:t xml:space="preserve">1800000000</w:t>
            </w:r>
          </w:p>
        </w:tc>
      </w:tr>
    </w:tbl>
    <w:p>
      <w:pPr>
        <w:pStyle w:val="BodyText"/>
      </w:pPr>
      <w:r>
        <w:t xml:space="preserve">两个顺序都正确，order 0 略快约 2.3%。由于当前合成数据中每条 L 记录都能匹配 O 和 PS，两个顺序的中间结果规模都接近 L 表规模，因此差距不大。</w:t>
      </w:r>
    </w:p>
    <w:bookmarkEnd w:id="31"/>
    <w:bookmarkStart w:id="35" w:name="分析"/>
    <w:p>
      <w:pPr>
        <w:pStyle w:val="Heading2"/>
      </w:pPr>
      <w:r>
        <w:t xml:space="preserve">10. 分析</w:t>
      </w:r>
    </w:p>
    <w:bookmarkStart w:id="32" w:name="vj-为什么最快"/>
    <w:p>
      <w:pPr>
        <w:pStyle w:val="Heading3"/>
      </w:pPr>
      <w:r>
        <w:t xml:space="preserve">vj 为什么最快</w:t>
      </w:r>
    </w:p>
    <w:p>
      <w:pPr>
        <w:pStyle w:val="FirstParagraph"/>
      </w:pPr>
      <w:r>
        <w:t xml:space="preserve">starjoin 的 O 和 PS 都是连续主键维表，完全符合 vector index 假设。vj 将 hash probe 变成数组下标访问，减少了 hash 计算、链式访问和冲突处理。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下，O/PS vector index 辅助空间约 460 MB，远小于 NPO/PRO 的 hash table 与物化开销。</w:t>
      </w:r>
    </w:p>
    <w:bookmarkEnd w:id="32"/>
    <w:bookmarkStart w:id="33" w:name="pro-为什么空间最高"/>
    <w:p>
      <w:pPr>
        <w:pStyle w:val="Heading3"/>
      </w:pPr>
      <w:r>
        <w:t xml:space="preserve">pro 为什么空间最高</w:t>
      </w:r>
    </w:p>
    <w:p>
      <w:pPr>
        <w:pStyle w:val="FirstParagraph"/>
      </w:pPr>
      <w:r>
        <w:t xml:space="preserve">pro 采用物化策略。虽然分区可以改善局部性，但当前 starjoin 任务中 L 与 PS/O 的连接结果规模等于 L 表规模，即 6 亿行，物化中间表会显著增加内存占用。因此 pro 的</w:t>
      </w:r>
      <w:r>
        <w:t xml:space="preserve"> </w:t>
      </w:r>
      <w:r>
        <w:rPr>
          <w:rStyle w:val="VerbatimChar"/>
        </w:rPr>
        <w:t xml:space="preserve">aux/input</w:t>
      </w:r>
      <w:r>
        <w:t xml:space="preserve"> </w:t>
      </w:r>
      <w:r>
        <w:t xml:space="preserve">为 2.178，高于 npo 和 vj。</w:t>
      </w:r>
    </w:p>
    <w:bookmarkEnd w:id="33"/>
    <w:bookmarkStart w:id="34" w:name="正确性口径"/>
    <w:p>
      <w:pPr>
        <w:pStyle w:val="Heading3"/>
      </w:pPr>
      <w:r>
        <w:t xml:space="preserve">正确性口径</w:t>
      </w:r>
    </w:p>
    <w:p>
      <w:pPr>
        <w:pStyle w:val="FirstParagraph"/>
      </w:pPr>
      <w:r>
        <w:t xml:space="preserve">PDF 中表达式结果与</w:t>
      </w:r>
      <w:r>
        <w:t xml:space="preserve">“</w:t>
      </w:r>
      <w:r>
        <w:t xml:space="preserve">结果等于记录数</w:t>
      </w:r>
      <w:r>
        <w:t xml:space="preserve">”</w:t>
      </w:r>
      <w:r>
        <w:t xml:space="preserve">的文字说明存在矛盾。本实现按 SQL 表达式计算聚合值，每条匹配贡献为 3，因此</w:t>
      </w:r>
      <w:r>
        <w:t xml:space="preserve"> </w:t>
      </w:r>
      <w:r>
        <w:rPr>
          <w:rStyle w:val="VerbatimChar"/>
        </w:rPr>
        <w:t xml:space="preserve">aggregate_sum = matches * 3</w:t>
      </w:r>
      <w:r>
        <w:t xml:space="preserve">。报告用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验证连接基数，用</w:t>
      </w:r>
      <w:r>
        <w:t xml:space="preserve"> </w:t>
      </w:r>
      <w:r>
        <w:rPr>
          <w:rStyle w:val="VerbatimChar"/>
        </w:rPr>
        <w:t xml:space="preserve">aggregate_sum</w:t>
      </w:r>
      <w:r>
        <w:t xml:space="preserve"> </w:t>
      </w:r>
      <w:r>
        <w:t xml:space="preserve">验证表达式计算。</w:t>
      </w:r>
    </w:p>
    <w:bookmarkEnd w:id="34"/>
    <w:bookmarkEnd w:id="35"/>
    <w:bookmarkStart w:id="36" w:name="局限"/>
    <w:p>
      <w:pPr>
        <w:pStyle w:val="Heading2"/>
      </w:pPr>
      <w:r>
        <w:t xml:space="preserve">11. 局限</w:t>
      </w:r>
    </w:p>
    <w:p>
      <w:pPr>
        <w:numPr>
          <w:ilvl w:val="0"/>
          <w:numId w:val="1009"/>
        </w:numPr>
        <w:pStyle w:val="Compact"/>
      </w:pPr>
      <w:r>
        <w:t xml:space="preserve">本报告完成了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、64 线程主实验、NUMA 对比、prefetch 对比和 PRO 顺序对比；没有再额外做完整线程数扩展曲线。</w:t>
      </w:r>
    </w:p>
    <w:p>
      <w:pPr>
        <w:numPr>
          <w:ilvl w:val="0"/>
          <w:numId w:val="1009"/>
        </w:numPr>
        <w:pStyle w:val="Compact"/>
      </w:pPr>
      <w:r>
        <w:t xml:space="preserve">目前未加入 SIMD vectorization，只实现 vector index 数据结构和 lookup 模式。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--basic-numa</w:t>
      </w:r>
      <w:r>
        <w:t xml:space="preserve"> </w:t>
      </w:r>
      <w:r>
        <w:t xml:space="preserve">在本任务上没有收益，后续若继续优化，应按 socket 拆分 L 表并复制或分区维表结构，而不是只调整初始化分配。</w:t>
      </w:r>
    </w:p>
    <w:bookmarkEnd w:id="36"/>
    <w:bookmarkStart w:id="37" w:name="结论"/>
    <w:p>
      <w:pPr>
        <w:pStyle w:val="Heading2"/>
      </w:pPr>
      <w:r>
        <w:t xml:space="preserve">12. 结论</w:t>
      </w:r>
    </w:p>
    <w:p>
      <w:pPr>
        <w:pStyle w:val="FirstParagraph"/>
      </w:pPr>
      <w:r>
        <w:t xml:space="preserve">本期中实验完成了 starjoin 的三种执行模式：</w:t>
      </w:r>
    </w:p>
    <w:p>
      <w:pPr>
        <w:numPr>
          <w:ilvl w:val="0"/>
          <w:numId w:val="1010"/>
        </w:numPr>
        <w:pStyle w:val="Compact"/>
      </w:pPr>
      <w:r>
        <w:t xml:space="preserve">npo pipeline hash starjoin</w:t>
      </w:r>
    </w:p>
    <w:p>
      <w:pPr>
        <w:numPr>
          <w:ilvl w:val="0"/>
          <w:numId w:val="1010"/>
        </w:numPr>
        <w:pStyle w:val="Compact"/>
      </w:pPr>
      <w:r>
        <w:t xml:space="preserve">pro materialized starjoin</w:t>
      </w:r>
    </w:p>
    <w:p>
      <w:pPr>
        <w:numPr>
          <w:ilvl w:val="0"/>
          <w:numId w:val="1010"/>
        </w:numPr>
        <w:pStyle w:val="Compact"/>
      </w:pPr>
      <w:r>
        <w:t xml:space="preserve">vj pipeline vector starjoin</w:t>
      </w:r>
    </w:p>
    <w:p>
      <w:pPr>
        <w:pStyle w:val="FirstParagraph"/>
      </w:pPr>
      <w:r>
        <w:t xml:space="preserve">在作业要求的</w:t>
      </w:r>
      <w:r>
        <w:t xml:space="preserve"> </w:t>
      </w:r>
      <w:r>
        <w:rPr>
          <w:rStyle w:val="VerbatimChar"/>
        </w:rPr>
        <w:t xml:space="preserve">sf=100</w:t>
      </w:r>
      <w:r>
        <w:t xml:space="preserve"> </w:t>
      </w:r>
      <w:r>
        <w:t xml:space="preserve">规模下，VJ 是性能和空间上最优的方案：64 线程耗时 3645.527 ms，明显快于 NPO 的 15552.289 ms 和 PRO 的 17355.132 ms；辅助空间约为输入的 6.9%，明显低于 NPO 的 145.5% 和 PRO 的 217.8%。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2026-07-01T16:11:10Z</dcterms:created>
  <dcterms:modified xsi:type="dcterms:W3CDTF">2026-07-01T16:11:10Z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