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pPr>
      <w:bookmarkStart w:colFirst="0" w:colLast="0" w:name="_knrxcsmezemi" w:id="0"/>
      <w:bookmarkEnd w:id="0"/>
      <w:r w:rsidDel="00000000" w:rsidR="00000000" w:rsidRPr="00000000">
        <w:rPr>
          <w:rtl w:val="0"/>
        </w:rPr>
      </w:r>
    </w:p>
    <w:p w:rsidR="00000000" w:rsidDel="00000000" w:rsidP="00000000" w:rsidRDefault="00000000" w:rsidRPr="00000000" w14:paraId="00000002">
      <w:pPr>
        <w:spacing w:line="480" w:lineRule="auto"/>
        <w:jc w:val="center"/>
        <w:rPr/>
      </w:pPr>
      <w:r w:rsidDel="00000000" w:rsidR="00000000" w:rsidRPr="00000000">
        <w:rPr>
          <w:rtl w:val="0"/>
        </w:rPr>
        <w:t xml:space="preserve">STAT3609</w:t>
      </w:r>
    </w:p>
    <w:p w:rsidR="00000000" w:rsidDel="00000000" w:rsidP="00000000" w:rsidRDefault="00000000" w:rsidRPr="00000000" w14:paraId="00000003">
      <w:pPr>
        <w:spacing w:line="480" w:lineRule="auto"/>
        <w:jc w:val="center"/>
        <w:rPr/>
      </w:pPr>
      <w:r w:rsidDel="00000000" w:rsidR="00000000" w:rsidRPr="00000000">
        <w:rPr>
          <w:rtl w:val="0"/>
        </w:rPr>
        <w:t xml:space="preserve">Group Project</w:t>
      </w:r>
    </w:p>
    <w:p w:rsidR="00000000" w:rsidDel="00000000" w:rsidP="00000000" w:rsidRDefault="00000000" w:rsidRPr="00000000" w14:paraId="00000004">
      <w:pPr>
        <w:spacing w:line="480" w:lineRule="auto"/>
        <w:jc w:val="center"/>
        <w:rPr/>
      </w:pPr>
      <w:r w:rsidDel="00000000" w:rsidR="00000000" w:rsidRPr="00000000">
        <w:rPr>
          <w:rtl w:val="0"/>
        </w:rPr>
        <w:t xml:space="preserve">“Examining the Effects of Lunar New Year on the Hong Kong Stock Market”</w:t>
      </w:r>
    </w:p>
    <w:p w:rsidR="00000000" w:rsidDel="00000000" w:rsidP="00000000" w:rsidRDefault="00000000" w:rsidRPr="00000000" w14:paraId="00000005">
      <w:pPr>
        <w:spacing w:line="480" w:lineRule="auto"/>
        <w:jc w:val="center"/>
        <w:rPr/>
      </w:pPr>
      <w:r w:rsidDel="00000000" w:rsidR="00000000" w:rsidRPr="00000000">
        <w:rPr>
          <w:rtl w:val="0"/>
        </w:rPr>
        <w:t xml:space="preserve">Julia Tan 3036503711</w:t>
      </w:r>
    </w:p>
    <w:p w:rsidR="00000000" w:rsidDel="00000000" w:rsidP="00000000" w:rsidRDefault="00000000" w:rsidRPr="00000000" w14:paraId="00000006">
      <w:pPr>
        <w:spacing w:line="480" w:lineRule="auto"/>
        <w:jc w:val="center"/>
        <w:rPr/>
      </w:pPr>
      <w:r w:rsidDel="00000000" w:rsidR="00000000" w:rsidRPr="00000000">
        <w:rPr>
          <w:rtl w:val="0"/>
        </w:rPr>
        <w:t xml:space="preserve">Emily Winder 3036496853</w:t>
        <w:br w:type="textWrapping"/>
        <w:t xml:space="preserve">Kiang Bo Kai 3036002078</w:t>
      </w:r>
    </w:p>
    <w:p w:rsidR="00000000" w:rsidDel="00000000" w:rsidP="00000000" w:rsidRDefault="00000000" w:rsidRPr="00000000" w14:paraId="00000007">
      <w:pPr>
        <w:spacing w:line="480" w:lineRule="auto"/>
        <w:jc w:val="center"/>
        <w:rPr/>
      </w:pPr>
      <w:r w:rsidDel="00000000" w:rsidR="00000000" w:rsidRPr="00000000">
        <w:rPr>
          <w:rtl w:val="0"/>
        </w:rPr>
        <w:t xml:space="preserve">Wang Ziyuan 3036497211</w:t>
      </w:r>
    </w:p>
    <w:p w:rsidR="00000000" w:rsidDel="00000000" w:rsidP="00000000" w:rsidRDefault="00000000" w:rsidRPr="00000000" w14:paraId="00000008">
      <w:pPr>
        <w:spacing w:line="480" w:lineRule="auto"/>
        <w:jc w:val="center"/>
        <w:rPr/>
      </w:pPr>
      <w:r w:rsidDel="00000000" w:rsidR="00000000" w:rsidRPr="00000000">
        <w:rPr>
          <w:rtl w:val="0"/>
        </w:rPr>
        <w:t xml:space="preserve">Megan Angeles  3035837323</w:t>
      </w:r>
    </w:p>
    <w:p w:rsidR="00000000" w:rsidDel="00000000" w:rsidP="00000000" w:rsidRDefault="00000000" w:rsidRPr="00000000" w14:paraId="00000009">
      <w:pPr>
        <w:spacing w:line="480" w:lineRule="auto"/>
        <w:jc w:val="center"/>
        <w:rPr/>
      </w:pPr>
      <w:r w:rsidDel="00000000" w:rsidR="00000000" w:rsidRPr="00000000">
        <w:rPr>
          <w:rtl w:val="0"/>
        </w:rPr>
        <w:t xml:space="preserve">Ng Xu Zhe Wayne 3036498526</w:t>
      </w:r>
    </w:p>
    <w:p w:rsidR="00000000" w:rsidDel="00000000" w:rsidP="00000000" w:rsidRDefault="00000000" w:rsidRPr="00000000" w14:paraId="0000000A">
      <w:pPr>
        <w:spacing w:line="480" w:lineRule="auto"/>
        <w:jc w:val="center"/>
        <w:rPr/>
      </w:pPr>
      <w:r w:rsidDel="00000000" w:rsidR="00000000" w:rsidRPr="00000000">
        <w:rPr>
          <w:rtl w:val="0"/>
        </w:rPr>
      </w:r>
    </w:p>
    <w:p w:rsidR="00000000" w:rsidDel="00000000" w:rsidP="00000000" w:rsidRDefault="00000000" w:rsidRPr="00000000" w14:paraId="0000000B">
      <w:pPr>
        <w:spacing w:line="480" w:lineRule="auto"/>
        <w:jc w:val="center"/>
        <w:rPr/>
      </w:pPr>
      <w:r w:rsidDel="00000000" w:rsidR="00000000" w:rsidRPr="00000000">
        <w:rPr>
          <w:rtl w:val="0"/>
        </w:rPr>
      </w:r>
    </w:p>
    <w:p w:rsidR="00000000" w:rsidDel="00000000" w:rsidP="00000000" w:rsidRDefault="00000000" w:rsidRPr="00000000" w14:paraId="0000000C">
      <w:pPr>
        <w:spacing w:line="480" w:lineRule="auto"/>
        <w:jc w:val="center"/>
        <w:rPr/>
      </w:pPr>
      <w:r w:rsidDel="00000000" w:rsidR="00000000" w:rsidRPr="00000000">
        <w:rPr>
          <w:rtl w:val="0"/>
        </w:rPr>
        <w:t xml:space="preserve">We hereby declare that this project is our original work.</w:t>
      </w:r>
    </w:p>
    <w:p w:rsidR="00000000" w:rsidDel="00000000" w:rsidP="00000000" w:rsidRDefault="00000000" w:rsidRPr="00000000" w14:paraId="0000000D">
      <w:pPr>
        <w:spacing w:line="480" w:lineRule="auto"/>
        <w:jc w:val="center"/>
        <w:rPr/>
      </w:pPr>
      <w:r w:rsidDel="00000000" w:rsidR="00000000" w:rsidRPr="00000000">
        <w:rPr>
          <w:rtl w:val="0"/>
        </w:rPr>
        <w:t xml:space="preserve">It has not been submitted, in whole or in part, for any other academic purpose.</w:t>
      </w:r>
    </w:p>
    <w:p w:rsidR="00000000" w:rsidDel="00000000" w:rsidP="00000000" w:rsidRDefault="00000000" w:rsidRPr="00000000" w14:paraId="0000000E">
      <w:pPr>
        <w:spacing w:line="480" w:lineRule="auto"/>
        <w:jc w:val="center"/>
        <w:rPr/>
      </w:pPr>
      <w:r w:rsidDel="00000000" w:rsidR="00000000" w:rsidRPr="00000000">
        <w:rPr>
          <w:rtl w:val="0"/>
        </w:rPr>
        <w:t xml:space="preserve">All sources of information have been properly acknowledged and cited in accordance with academic integrity standards.</w:t>
      </w:r>
    </w:p>
    <w:p w:rsidR="00000000" w:rsidDel="00000000" w:rsidP="00000000" w:rsidRDefault="00000000" w:rsidRPr="00000000" w14:paraId="0000000F">
      <w:pPr>
        <w:spacing w:line="480" w:lineRule="auto"/>
        <w:jc w:val="center"/>
        <w:rPr/>
      </w:pPr>
      <w:r w:rsidDel="00000000" w:rsidR="00000000" w:rsidRPr="00000000">
        <w:rPr>
          <w:rtl w:val="0"/>
        </w:rPr>
      </w:r>
    </w:p>
    <w:p w:rsidR="00000000" w:rsidDel="00000000" w:rsidP="00000000" w:rsidRDefault="00000000" w:rsidRPr="00000000" w14:paraId="00000010">
      <w:pPr>
        <w:pStyle w:val="Title"/>
        <w:jc w:val="center"/>
        <w:rPr/>
      </w:pPr>
      <w:bookmarkStart w:colFirst="0" w:colLast="0" w:name="_pyfhrmr4eluc" w:id="1"/>
      <w:bookmarkEnd w:id="1"/>
      <w:r w:rsidDel="00000000" w:rsidR="00000000" w:rsidRPr="00000000">
        <w:rPr>
          <w:rtl w:val="0"/>
        </w:rPr>
      </w:r>
    </w:p>
    <w:p w:rsidR="00000000" w:rsidDel="00000000" w:rsidP="00000000" w:rsidRDefault="00000000" w:rsidRPr="00000000" w14:paraId="00000011">
      <w:pPr>
        <w:pStyle w:val="Title"/>
        <w:jc w:val="left"/>
        <w:rPr/>
      </w:pPr>
      <w:bookmarkStart w:colFirst="0" w:colLast="0" w:name="_xavvd72lcfka" w:id="2"/>
      <w:bookmarkEnd w:id="2"/>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rPr>
      </w:pPr>
      <w:bookmarkStart w:colFirst="0" w:colLast="0" w:name="_rcqggwaa4pnb" w:id="3"/>
      <w:bookmarkEnd w:id="3"/>
      <w:r w:rsidDel="00000000" w:rsidR="00000000" w:rsidRPr="00000000">
        <w:rPr>
          <w:rtl w:val="0"/>
        </w:rPr>
        <w:t xml:space="preserve">1. </w:t>
      </w:r>
      <w:r w:rsidDel="00000000" w:rsidR="00000000" w:rsidRPr="00000000">
        <w:rPr>
          <w:rtl w:val="0"/>
        </w:rPr>
        <w:t xml:space="preserve">Research motivation</w:t>
      </w: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Hong Kong Stock Exchange (HKEX) is a world hub of global finance and a city deep-rooted with Chinese cultural traditions. Observations have long suggested that the Chinese Lunar New Year (LNY) holiday induces significant volatility and anomalous returns in the market. This project is motivated by the critical need to statistically quantify, validate, and understand this "LNY Effect" to enhance investment risk management strategies.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calendar effects, such as the "January Effect" in Western markets (Kudryavtsev, 2019), are well-documented, the LNY presents a unique, dynamic, and culturally specific event whose impact on a major financial hub like Hong Kong remains insufficiently explored through rigorous statistical lenses. The annual mass migration, market closures and shifts in investor sentiment cause a complex interplay of liquidity shocks and behavioural biases.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aims to move beyond conjecture by employing statistical methods to quantify the pre- and post-holiday volatility patterns. The core objective is to determine if these patterns are statistically significant and consistent, or merely random noise.</w:t>
      </w:r>
    </w:p>
    <w:p w:rsidR="00000000" w:rsidDel="00000000" w:rsidP="00000000" w:rsidRDefault="00000000" w:rsidRPr="00000000" w14:paraId="00000018">
      <w:pPr>
        <w:spacing w:after="240" w:before="240" w:lineRule="auto"/>
        <w:rPr/>
      </w:pPr>
      <w:r w:rsidDel="00000000" w:rsidR="00000000" w:rsidRPr="00000000">
        <w:rPr>
          <w:rFonts w:ascii="Times New Roman" w:cs="Times New Roman" w:eastAsia="Times New Roman" w:hAnsi="Times New Roman"/>
          <w:sz w:val="24"/>
          <w:szCs w:val="24"/>
          <w:rtl w:val="0"/>
        </w:rPr>
        <w:t xml:space="preserve">The practical implications are substantial. For risk managers, understanding this recurring structural break in market behaviour is essential for accurately calculating Value at Risk (VaR) and setting appropriate margin requirements. Ultimately, this research seeks to transform a well-known market phenomenon into a statistically grounded risk factor, thereby contributing to more resilient and culturally aware investment frameworks for one of the world's most important financial centres.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pStyle w:val="Heading2"/>
        <w:rPr/>
      </w:pPr>
      <w:bookmarkStart w:colFirst="0" w:colLast="0" w:name="_lvpvgvdsxnwi" w:id="4"/>
      <w:bookmarkEnd w:id="4"/>
      <w:r w:rsidDel="00000000" w:rsidR="00000000" w:rsidRPr="00000000">
        <w:rPr>
          <w:rtl w:val="0"/>
        </w:rPr>
        <w:t xml:space="preserve">2.1 </w:t>
      </w:r>
      <w:r w:rsidDel="00000000" w:rsidR="00000000" w:rsidRPr="00000000">
        <w:rPr>
          <w:rtl w:val="0"/>
        </w:rPr>
        <w:t xml:space="preserve">The Impact of Public Holidays on Financial Markets</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influence of calendar events on financial market behaviour is a well-documented anomaly in financial literature, challenging the notion of purely efficient markets. A recurring theme across global exchanges is the significant impact of public holidays, which induce distinct patterns in returns, volatility, and investor psychology. This phenomenon is driven by a complex interplay of behavioural biases, wishful thinking, and cultural factors that systematically alter market dynamics.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Empirical evidence consistently points to a "pre-holiday effect," characterised by abnormally positive returns and increased trading activity in the days leading to a market closure. Studies across both emerging and developed markets corroborate this trend. For instance, research on the Jordan and Egyptian stock exchanges found that average daily returns were significantly positive on the days preceding holidays, a result attributed to investors' more positive moods before a break (Aintablian, 2006). This psychological uplift aligns with the "Mood Maintenance Hypothesis," where investors, in a positive pre-holiday spirit, may underreact to new information, leading to predictable post-holiday price drifts (Kudryavtsev, 2019). This effect is often more pronounced for small-cap and volatile stocks, which are more susceptible to sentiment-driven trading.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a behavioural finance perspective, the emotional anticipation of holidays can directly shape investor decision-making. Recent research by (Lonkani, 2025) provides empirical evidence for this link by looking at data collected online from Thai investors. The data showed that an investor's mood significantly alters their perception of risk and return. The study found that positive moods increase perceptions of both expected returns and risk, likely fostering optimism and a greater willingness to engage in risk-taking. Conversely, negative moods and higher levels of depression reduce risk perception and diminish long-term optimism, leading to more conservative behaviour. This explains how the collective positive sentiment before a holiday like the Lunar New Year can fuel market rallies, as investors become more optimistic. Furthermore, it suggests that investors exhibiting depressive symptoms may avoid risk and prefer stable investments. These findings underscore that investment behaviour is not purely rational but is profoundly influenced by psychological states, which are systematically triggered around significant calendar events.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mechanisms behind holiday effects are multifaceted. Practically, the approach of a long weekend or national holiday often triggers a rally as traders adjust their portfolios (Intertrader, 2018). This can involve big buys or big sells as investors seek to capitalise on anticipated trends or mitigate risk. Conversely, the need to liquidate positions to fund holiday consumption, or to hedge against potential negative news from overseas markets during the closure, can create selling pressure and volatility (Futunn, 2025). This creates a conflicting investor mentality between taking profits and making early arrangements, which frequently triggers market volatility around the holiday period (Futunn, 2025).</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change in trading volume during holiday periods can amplify price movements. With many participants away, the actions of the remaining investors can have a more pronounced impact on prices, leading to increased volatility (Pino, 2022). This is compounded by shifts in sentiment; investors may become more risk-averse, selling off volatile assets to avoid unexpected news during their absence. However, holidays associated with increased consumer spending, such as Christmas, can also foster optimism and buoy certain market sectors (Pino, 2022).</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Critically, the evidence suggests that the most consistent and statistically significant effects are concentrated in the pre-holiday period, with the post-holiday trajectory becoming more dependent on event-driven factors like policy announcements or overseas economic data (Futunn, 2025; Aintablian, 2006). While these patterns present potential opportunities, experts caution against attempting to time the market based solely on calendar effects, emphasising the importance of a long-term, fundamentals-driven investment strategy (Pino, 2022). Nevertheless, for international portfolio managers and risk analysts, recognising these recurring structural breaks is essential for enhancing trade timing and improving risk management frameworks worldwide (Aintablian, 2006; Kudryavtsev, 2019).</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pStyle w:val="Heading2"/>
        <w:spacing w:after="240" w:before="240" w:lineRule="auto"/>
        <w:rPr/>
      </w:pPr>
      <w:bookmarkStart w:colFirst="0" w:colLast="0" w:name="_inetsxt7a3dc" w:id="5"/>
      <w:bookmarkEnd w:id="5"/>
      <w:r w:rsidDel="00000000" w:rsidR="00000000" w:rsidRPr="00000000">
        <w:rPr>
          <w:rtl w:val="0"/>
        </w:rPr>
        <w:t xml:space="preserve">2.2 Lunar New Year Effect in Hong Kong</w:t>
      </w:r>
    </w:p>
    <w:p w:rsidR="00000000" w:rsidDel="00000000" w:rsidP="00000000" w:rsidRDefault="00000000" w:rsidRPr="00000000" w14:paraId="00000023">
      <w:pPr>
        <w:ind w:firstLine="720"/>
        <w:rPr/>
      </w:pPr>
      <w:r w:rsidDel="00000000" w:rsidR="00000000" w:rsidRPr="00000000">
        <w:rPr>
          <w:rtl w:val="0"/>
        </w:rPr>
        <w:t xml:space="preserve">Financial markets often follow calendar based patterns of the stock market around public holidays. This is known as the holiday effect. The holiday effect refers to the behavioral patterns observed within the stock market around the holiday season. We often see stock markets tend to rise before a holiday and fall afterwards. Early studies such as Lakonishok and Smidt (1988) and Ariel (1990) discovered that US markets tend to experience significantly higher returns on trading days preceding major holidays due to reduced risk aversion and lower trading activity.</w:t>
      </w:r>
    </w:p>
    <w:p w:rsidR="00000000" w:rsidDel="00000000" w:rsidP="00000000" w:rsidRDefault="00000000" w:rsidRPr="00000000" w14:paraId="00000024">
      <w:pPr>
        <w:ind w:firstLine="720"/>
        <w:rPr/>
      </w:pPr>
      <w:r w:rsidDel="00000000" w:rsidR="00000000" w:rsidRPr="00000000">
        <w:rPr>
          <w:rtl w:val="0"/>
        </w:rPr>
      </w:r>
    </w:p>
    <w:p w:rsidR="00000000" w:rsidDel="00000000" w:rsidP="00000000" w:rsidRDefault="00000000" w:rsidRPr="00000000" w14:paraId="00000025">
      <w:pPr>
        <w:ind w:firstLine="720"/>
        <w:rPr/>
      </w:pPr>
      <w:r w:rsidDel="00000000" w:rsidR="00000000" w:rsidRPr="00000000">
        <w:rPr>
          <w:rtl w:val="0"/>
        </w:rPr>
        <w:t xml:space="preserve">Beyond Western markets, researchers have found that holiday effects are particularly pronounced in Asia, where cultural factors play a larger role in shaping the market. Lunar New Year, one of the most important holidays celebrated across multiple East Asian countries, has been identified as one of the most consistent sources of holiday related anomalies. Yuan and Gupta (2014) explored the LNY effect for six stock markets in East Asia focusing specifically in China, Hong Kong, Japan, Malaysia, South Korea, and Taiwan. The results derived from their GARCH(1,1) model indicate that market returns three days before LNY are higher than other days of the year. Additionally, this study found that market volatility particularly for the Chinese stock market in these three days is often higher than other days of the year.</w:t>
      </w:r>
    </w:p>
    <w:p w:rsidR="00000000" w:rsidDel="00000000" w:rsidP="00000000" w:rsidRDefault="00000000" w:rsidRPr="00000000" w14:paraId="00000026">
      <w:pPr>
        <w:ind w:firstLine="720"/>
        <w:rPr/>
      </w:pPr>
      <w:r w:rsidDel="00000000" w:rsidR="00000000" w:rsidRPr="00000000">
        <w:rPr>
          <w:rtl w:val="0"/>
        </w:rPr>
      </w:r>
    </w:p>
    <w:p w:rsidR="00000000" w:rsidDel="00000000" w:rsidP="00000000" w:rsidRDefault="00000000" w:rsidRPr="00000000" w14:paraId="00000027">
      <w:pPr>
        <w:ind w:firstLine="720"/>
        <w:rPr/>
      </w:pPr>
      <w:r w:rsidDel="00000000" w:rsidR="00000000" w:rsidRPr="00000000">
        <w:rPr>
          <w:rtl w:val="0"/>
        </w:rPr>
        <w:t xml:space="preserve">Specifically in Hong Kong, Wong, Hui, and Chan (1992) observed that the Hang Seng Index reflected statistically significant positive returns in the two to three trading days before the holiday. Another study by Chia, Lim, Ong &amp; Teh (2015) used GARCH-M, TGARCH-M, and EGARCH-M models over the 1988-2012 and found significant abnormal returns in the two trading days before LNY, and a one day post holiday effect. According to the researchers, these ﬁndings can be explained by arguments derived from behavioral ﬁnance, where traditional culture may shape investors’ risk attitudes and inﬂuence their decision when trading. These studies suggests that festive optimism and portfolio adjustments before market closure might drive these effects.</w:t>
      </w:r>
    </w:p>
    <w:p w:rsidR="00000000" w:rsidDel="00000000" w:rsidP="00000000" w:rsidRDefault="00000000" w:rsidRPr="00000000" w14:paraId="00000028">
      <w:pPr>
        <w:ind w:firstLine="720"/>
        <w:rPr/>
      </w:pPr>
      <w:r w:rsidDel="00000000" w:rsidR="00000000" w:rsidRPr="00000000">
        <w:rPr>
          <w:rtl w:val="0"/>
        </w:rPr>
      </w:r>
    </w:p>
    <w:p w:rsidR="00000000" w:rsidDel="00000000" w:rsidP="00000000" w:rsidRDefault="00000000" w:rsidRPr="00000000" w14:paraId="00000029">
      <w:pPr>
        <w:ind w:firstLine="720"/>
        <w:rPr/>
      </w:pPr>
      <w:r w:rsidDel="00000000" w:rsidR="00000000" w:rsidRPr="00000000">
        <w:rPr>
          <w:rtl w:val="0"/>
        </w:rPr>
        <w:t xml:space="preserve">While the Lunar New Year effect in Hong Kong has been well documented historically, there are still important notes to consider. Most existing studies rely on data before 2015 and therefore excludes the structural transformation brought by the Hong Kong Mainland Stock Connect program, which significantly increased capital flows between Mainland China and Hong Kong. Additionally, there are only a few papers that investigate how post COVID-19 pandemic affected digital trading and shifts in market structure that may have previously be influenced by the New Year effect. By examining the relationship between Chinese New Year and Hong Kong stock performance in more revent years, our study hopes to contribute to updated empirical evidence and evaluates whether the traditional pre-holiday effect has weakened, persisted, or evolved.</w:t>
      </w:r>
    </w:p>
    <w:p w:rsidR="00000000" w:rsidDel="00000000" w:rsidP="00000000" w:rsidRDefault="00000000" w:rsidRPr="00000000" w14:paraId="0000002A">
      <w:pPr>
        <w:ind w:firstLine="720"/>
        <w:rPr/>
      </w:pPr>
      <w:r w:rsidDel="00000000" w:rsidR="00000000" w:rsidRPr="00000000">
        <w:rPr>
          <w:rtl w:val="0"/>
        </w:rPr>
      </w:r>
    </w:p>
    <w:p w:rsidR="00000000" w:rsidDel="00000000" w:rsidP="00000000" w:rsidRDefault="00000000" w:rsidRPr="00000000" w14:paraId="0000002B">
      <w:pPr>
        <w:pStyle w:val="Heading2"/>
        <w:rPr/>
      </w:pPr>
      <w:bookmarkStart w:colFirst="0" w:colLast="0" w:name="_mtkmfix0dpdg" w:id="6"/>
      <w:bookmarkEnd w:id="6"/>
      <w:r w:rsidDel="00000000" w:rsidR="00000000" w:rsidRPr="00000000">
        <w:rPr>
          <w:rtl w:val="0"/>
        </w:rPr>
        <w:t xml:space="preserve">3. Data collection</w:t>
      </w:r>
    </w:p>
    <w:p w:rsidR="00000000" w:rsidDel="00000000" w:rsidP="00000000" w:rsidRDefault="00000000" w:rsidRPr="00000000" w14:paraId="0000002C">
      <w:pPr>
        <w:rPr/>
      </w:pPr>
      <w:r w:rsidDel="00000000" w:rsidR="00000000" w:rsidRPr="00000000">
        <w:rPr>
          <w:rtl w:val="0"/>
        </w:rPr>
        <w:t xml:space="preserve">To investigate the Lunar New Year effect on the Hong Kong stock market, we need a large amount of historical data to build a statistical method to analyze the effect. We collected the data from different online free sources, including Yahoo Finance(</w:t>
      </w:r>
      <w:hyperlink r:id="rId6">
        <w:r w:rsidDel="00000000" w:rsidR="00000000" w:rsidRPr="00000000">
          <w:rPr>
            <w:color w:val="1155cc"/>
            <w:u w:val="single"/>
            <w:rtl w:val="0"/>
          </w:rPr>
          <w:t xml:space="preserve">https://finance.yahoo.com/</w:t>
        </w:r>
      </w:hyperlink>
      <w:r w:rsidDel="00000000" w:rsidR="00000000" w:rsidRPr="00000000">
        <w:rPr>
          <w:rtl w:val="0"/>
        </w:rPr>
        <w:t xml:space="preserve">), Hong Kong Exchanges and Clearing Limited(HKEX)(</w:t>
      </w:r>
      <w:hyperlink r:id="rId7">
        <w:r w:rsidDel="00000000" w:rsidR="00000000" w:rsidRPr="00000000">
          <w:rPr>
            <w:color w:val="1155cc"/>
            <w:u w:val="single"/>
            <w:rtl w:val="0"/>
          </w:rPr>
          <w:t xml:space="preserve">https://www.hkex.com.hk/?sc_lang=en</w:t>
        </w:r>
      </w:hyperlink>
      <w:r w:rsidDel="00000000" w:rsidR="00000000" w:rsidRPr="00000000">
        <w:rPr>
          <w:rtl w:val="0"/>
        </w:rPr>
        <w:t xml:space="preserve">) and Hong Kong Monetary Authority(HKMA)(</w:t>
      </w:r>
      <w:hyperlink r:id="rId8">
        <w:r w:rsidDel="00000000" w:rsidR="00000000" w:rsidRPr="00000000">
          <w:rPr>
            <w:color w:val="1155cc"/>
            <w:u w:val="single"/>
            <w:rtl w:val="0"/>
          </w:rPr>
          <w:t xml:space="preserve">https://www.hkma.gov.hk/eng/</w:t>
        </w:r>
      </w:hyperlink>
      <w:r w:rsidDel="00000000" w:rsidR="00000000" w:rsidRPr="00000000">
        <w:rPr>
          <w:rtl w:val="0"/>
        </w:rPr>
        <w:t xml:space="preserve">) and the time period of all data is from September 1, 2015 to September 1, 2025. Specifically, the daily historical market data of Hang Seng Index and Top 20 Market capital constituent stock of Hang Seng Index were collected from the Yahoo Finance, covering the trading volume, adjusted closing price, daily high, daily low and the open price. Also, we collected the number of outstanding shares for the Top 20 Hang Seng Index constituent stocks from the Hong Kong Exchanges and clearing Limited. Moreover, we used the Hong Kong 10 year government bond yield as a risk free rate in Hong Kong and we collected the daily risk free rate from the Hong Kong Monetary Authority.</w:t>
        <w:br w:type="textWrapping"/>
        <w:br w:type="textWrapping"/>
        <w:t xml:space="preserve">However, there are some limitations we found when we were collecting the data. First, the Lunar New Year might start from Wednesday and if we add up the weekend holiday, there will be a market close for a total of 5 days. This might enlarge the Lunar New Year effect. Second, some constituent stock has gone public a few years ago. For instance, the Xiaomi Corporation-W stock  was listed on July 19, 2018, so there is an empty data from the period of 2015 to 2018 . Third, we took the average of the risk free rate. Since the risk free rate is floating everyday, it is hard to analyze with a floating rate. Thus, we took the average for convenience. </w:t>
      </w:r>
      <w:r w:rsidDel="00000000" w:rsidR="00000000" w:rsidRPr="00000000">
        <w:rPr>
          <w:rtl w:val="0"/>
        </w:rPr>
      </w:r>
    </w:p>
    <w:p w:rsidR="00000000" w:rsidDel="00000000" w:rsidP="00000000" w:rsidRDefault="00000000" w:rsidRPr="00000000" w14:paraId="0000002D">
      <w:pPr>
        <w:pStyle w:val="Heading2"/>
        <w:spacing w:after="240" w:before="240" w:lineRule="auto"/>
        <w:rPr/>
      </w:pPr>
      <w:bookmarkStart w:colFirst="0" w:colLast="0" w:name="_ncmluf7lkpkr" w:id="7"/>
      <w:bookmarkEnd w:id="7"/>
      <w:r w:rsidDel="00000000" w:rsidR="00000000" w:rsidRPr="00000000">
        <w:rPr>
          <w:rtl w:val="0"/>
        </w:rPr>
        <w:t xml:space="preserve">4</w:t>
      </w:r>
      <w:r w:rsidDel="00000000" w:rsidR="00000000" w:rsidRPr="00000000">
        <w:rPr>
          <w:rtl w:val="0"/>
        </w:rPr>
        <w:t xml:space="preserve">. Statistical Methods</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To assess the impact of the Lunar New Year (LNY) on the Hong Kong Stock Market, we conducted risk &amp; return estimations to first identify the differences of the Hong Kong Stock Market prices between various periods, and subsequently conducted hypothesis testing to find out if these differences are statistically significant.</w:t>
      </w:r>
    </w:p>
    <w:p w:rsidR="00000000" w:rsidDel="00000000" w:rsidP="00000000" w:rsidRDefault="00000000" w:rsidRPr="00000000" w14:paraId="0000002F">
      <w:pPr>
        <w:pStyle w:val="Heading3"/>
        <w:rPr>
          <w:rFonts w:ascii="Times New Roman" w:cs="Times New Roman" w:eastAsia="Times New Roman" w:hAnsi="Times New Roman"/>
          <w:b w:val="1"/>
          <w:bCs w:val="1"/>
          <w:color w:val="000000"/>
        </w:rPr>
      </w:pPr>
      <w:bookmarkStart w:colFirst="0" w:colLast="0" w:name="_9w82sjfbem6u" w:id="8"/>
      <w:bookmarkEnd w:id="8"/>
      <w:r w:rsidDel="00000000" w:rsidR="00000000" w:rsidRPr="00000000">
        <w:rPr>
          <w:rtl w:val="0"/>
        </w:rPr>
        <w:t xml:space="preserve">4.1 </w:t>
      </w:r>
      <w:r w:rsidDel="00000000" w:rsidR="00000000" w:rsidRPr="00000000">
        <w:rPr>
          <w:rtl w:val="0"/>
        </w:rPr>
        <w:t xml:space="preserve">Risk &amp; Return Estimations</w:t>
      </w: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Fonts w:ascii="Times New Roman" w:cs="Times New Roman" w:eastAsia="Times New Roman" w:hAnsi="Times New Roman"/>
          <w:sz w:val="24"/>
          <w:szCs w:val="24"/>
          <w:highlight w:val="white"/>
          <w:rtl w:val="0"/>
        </w:rPr>
        <w:t xml:space="preserve">Our first step was to process the Hang Seng Index (HSI) data by tagging each of the 2459 data points with a period tag: </w:t>
      </w:r>
      <w:r w:rsidDel="00000000" w:rsidR="00000000" w:rsidRPr="00000000">
        <w:rPr>
          <w:rFonts w:ascii="Times New Roman" w:cs="Times New Roman" w:eastAsia="Times New Roman" w:hAnsi="Times New Roman"/>
          <w:sz w:val="24"/>
          <w:szCs w:val="24"/>
          <w:highlight w:val="white"/>
          <w:rtl w:val="0"/>
        </w:rPr>
        <w:t xml:space="preserve">Pre-Lunary New Year (Pre-LNY), Post-Lunar New Year (Post-LNY), as well as all other dates outside of the Lunar New Year period (Baseline). The dates that we used to tag our data points are shown in 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highlight w:val="white"/>
          <w:rtl w:val="0"/>
        </w:rPr>
        <w:t xml:space="preserve">1.1.</w:t>
      </w: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tbl>
      <w:tblPr>
        <w:tblStyle w:val="Table1"/>
        <w:tblW w:w="10470.0" w:type="dxa"/>
        <w:jc w:val="left"/>
        <w:tblInd w:w="-696.0000000000001" w:type="dxa"/>
        <w:tblLayout w:type="fixed"/>
        <w:tblLook w:val="0600"/>
      </w:tblPr>
      <w:tblGrid>
        <w:gridCol w:w="2630.9999999999995"/>
        <w:gridCol w:w="2949.0000000000005"/>
        <w:gridCol w:w="2445"/>
        <w:gridCol w:w="2445"/>
        <w:tblGridChange w:id="0">
          <w:tblGrid>
            <w:gridCol w:w="2630.9999999999995"/>
            <w:gridCol w:w="2949.0000000000005"/>
            <w:gridCol w:w="2445"/>
            <w:gridCol w:w="2445"/>
          </w:tblGrid>
        </w:tblGridChange>
      </w:tblGrid>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2">
            <w:pPr>
              <w:keepNext w:val="1"/>
              <w:keepLines w:val="1"/>
              <w:widowControl w:val="1"/>
              <w:spacing w:after="0" w:before="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Year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3">
            <w:pPr>
              <w:keepNext w:val="1"/>
              <w:keepLines w:val="1"/>
              <w:widowControl w:val="1"/>
              <w:spacing w:after="0" w:before="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LNY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4">
            <w:pPr>
              <w:keepNext w:val="1"/>
              <w:keepLines w:val="1"/>
              <w:widowControl w:val="1"/>
              <w:spacing w:after="0" w:before="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Pre-LNY (5 days before)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5">
            <w:pPr>
              <w:keepNext w:val="1"/>
              <w:keepLines w:val="1"/>
              <w:widowControl w:val="1"/>
              <w:spacing w:after="0" w:before="0" w:line="24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Post-LNY (5 days after)</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6">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7">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19,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8">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14, 2015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9">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25, 2015</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A">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B">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8, 2016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C">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3, 2016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D">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13, 2016</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E">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3F">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28, 2017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0">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23, 2017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1">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2, 2017</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2">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3">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16, 2018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4">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11, 2018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5">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21, 2018</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6">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7">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5, 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8">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31, 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9">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10, 2019</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A">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B">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25,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C">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20, 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D">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30, 2020</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E">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4F">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12, 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0">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7, 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1">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17, 2021</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2">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3">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4">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27, 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5">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6, 2022</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6">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7">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22, 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8">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17, 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9">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27, 2023</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A">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B">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10,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C">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5, 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D">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15, 2024</w:t>
            </w:r>
            <w:r w:rsidDel="00000000" w:rsidR="00000000" w:rsidRPr="00000000">
              <w:rPr>
                <w:rtl w:val="0"/>
              </w:rPr>
            </w:r>
          </w:p>
        </w:tc>
      </w:tr>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E">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5F">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29,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0">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Jan 24, 2025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61">
            <w:pPr>
              <w:keepNext w:val="1"/>
              <w:keepLines w:val="1"/>
              <w:widowControl w:val="1"/>
              <w:spacing w:after="0" w:before="0" w:line="120" w:lineRule="auto"/>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Feb 3, 2025</w:t>
            </w:r>
            <w:r w:rsidDel="00000000" w:rsidR="00000000" w:rsidRPr="00000000">
              <w:rPr>
                <w:rtl w:val="0"/>
              </w:rPr>
            </w:r>
          </w:p>
        </w:tc>
      </w:tr>
    </w:tbl>
    <w:p w:rsidR="00000000" w:rsidDel="00000000" w:rsidP="00000000" w:rsidRDefault="00000000" w:rsidRPr="00000000" w14:paraId="00000062">
      <w:pPr>
        <w:spacing w:after="240" w:before="240" w:line="276" w:lineRule="auto"/>
        <w:jc w:val="center"/>
        <w:rPr>
          <w:b w:val="1"/>
          <w:bCs w:val="1"/>
        </w:rPr>
      </w:pPr>
      <w:r w:rsidDel="00000000" w:rsidR="00000000" w:rsidRPr="00000000">
        <w:rPr>
          <w:i w:val="1"/>
          <w:iCs w:val="1"/>
          <w:sz w:val="24"/>
          <w:szCs w:val="24"/>
          <w:highlight w:val="white"/>
          <w:rtl w:val="0"/>
        </w:rPr>
        <w:t xml:space="preserve">Figure </w:t>
      </w:r>
      <w:r w:rsidDel="00000000" w:rsidR="00000000" w:rsidRPr="00000000">
        <w:rPr>
          <w:i w:val="1"/>
          <w:iCs w:val="1"/>
          <w:rtl w:val="0"/>
        </w:rPr>
        <w:t xml:space="preserve">4.1</w:t>
      </w:r>
      <w:r w:rsidDel="00000000" w:rsidR="00000000" w:rsidRPr="00000000">
        <w:rPr>
          <w:i w:val="1"/>
          <w:iCs w:val="1"/>
          <w:sz w:val="24"/>
          <w:szCs w:val="24"/>
          <w:highlight w:val="white"/>
          <w:rtl w:val="0"/>
        </w:rPr>
        <w:t xml:space="preserve">.1: Lunar New Year dates (2015-2025)</w:t>
      </w:r>
      <w:r w:rsidDel="00000000" w:rsidR="00000000" w:rsidRPr="00000000">
        <w:rPr>
          <w:rtl w:val="0"/>
        </w:rPr>
      </w:r>
    </w:p>
    <w:p w:rsidR="00000000" w:rsidDel="00000000" w:rsidP="00000000" w:rsidRDefault="00000000" w:rsidRPr="00000000" w14:paraId="00000063">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After tagging each individual date, we proceeded to calculate the daily simple returns and log returns for each date: simple returns Rt = (Pt−Pt−1)/Pt−1 and log returns rt = ln⁡(Pt) − ln⁡(Pt−1).</w:t>
      </w:r>
    </w:p>
    <w:p w:rsidR="00000000" w:rsidDel="00000000" w:rsidP="00000000" w:rsidRDefault="00000000" w:rsidRPr="00000000" w14:paraId="00000064">
      <w:pPr>
        <w:spacing w:after="0" w:before="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Following which, we used manual calculations and excel functions to calculate the 5 different metrics for each of the time periods for comparison:</w:t>
      </w:r>
    </w:p>
    <w:p w:rsidR="00000000" w:rsidDel="00000000" w:rsidP="00000000" w:rsidRDefault="00000000" w:rsidRPr="00000000" w14:paraId="00000065">
      <w:pPr>
        <w:spacing w:after="0" w:before="0" w:line="276"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numPr>
          <w:ilvl w:val="0"/>
          <w:numId w:val="3"/>
        </w:numPr>
        <w:spacing w:after="0" w:before="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Average Return</w:t>
      </w:r>
      <w:r w:rsidDel="00000000" w:rsidR="00000000" w:rsidRPr="00000000">
        <w:rPr>
          <w:rFonts w:ascii="Times New Roman" w:cs="Times New Roman" w:eastAsia="Times New Roman" w:hAnsi="Times New Roman"/>
          <w:sz w:val="24"/>
          <w:szCs w:val="24"/>
          <w:highlight w:val="white"/>
          <w:rtl w:val="0"/>
        </w:rPr>
        <w:t xml:space="preserve"> = (Sum of daily returns) ÷ (Number of days)</w:t>
      </w:r>
    </w:p>
    <w:p w:rsidR="00000000" w:rsidDel="00000000" w:rsidP="00000000" w:rsidRDefault="00000000" w:rsidRPr="00000000" w14:paraId="00000067">
      <w:pPr>
        <w:numPr>
          <w:ilvl w:val="0"/>
          <w:numId w:val="3"/>
        </w:numPr>
        <w:spacing w:after="0" w:before="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Standard Deviation (Daily)</w:t>
      </w:r>
      <w:r w:rsidDel="00000000" w:rsidR="00000000" w:rsidRPr="00000000">
        <w:rPr>
          <w:rFonts w:ascii="Gungsuh" w:cs="Gungsuh" w:eastAsia="Gungsuh" w:hAnsi="Gungsuh"/>
          <w:sz w:val="24"/>
          <w:szCs w:val="24"/>
          <w:highlight w:val="white"/>
          <w:rtl w:val="0"/>
        </w:rPr>
        <w:t xml:space="preserve"> = √[ Σ (Return − Mean)² ÷ (Num. Days − 1) ]</w:t>
      </w:r>
    </w:p>
    <w:p w:rsidR="00000000" w:rsidDel="00000000" w:rsidP="00000000" w:rsidRDefault="00000000" w:rsidRPr="00000000" w14:paraId="00000068">
      <w:pPr>
        <w:numPr>
          <w:ilvl w:val="0"/>
          <w:numId w:val="3"/>
        </w:numPr>
        <w:spacing w:after="0" w:before="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Annualized Volatility</w:t>
      </w:r>
      <w:r w:rsidDel="00000000" w:rsidR="00000000" w:rsidRPr="00000000">
        <w:rPr>
          <w:rFonts w:ascii="Gungsuh" w:cs="Gungsuh" w:eastAsia="Gungsuh" w:hAnsi="Gungsuh"/>
          <w:sz w:val="24"/>
          <w:szCs w:val="24"/>
          <w:highlight w:val="white"/>
          <w:rtl w:val="0"/>
        </w:rPr>
        <w:t xml:space="preserve"> = √N × (Daily Std Dev)  </w:t>
      </w:r>
    </w:p>
    <w:p w:rsidR="00000000" w:rsidDel="00000000" w:rsidP="00000000" w:rsidRDefault="00000000" w:rsidRPr="00000000" w14:paraId="00000069">
      <w:pPr>
        <w:spacing w:after="0" w:before="0"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**N (number of trading days) = 252**</w:t>
      </w:r>
      <w:r w:rsidDel="00000000" w:rsidR="00000000" w:rsidRPr="00000000">
        <w:rPr>
          <w:rtl w:val="0"/>
        </w:rPr>
      </w:r>
    </w:p>
    <w:p w:rsidR="00000000" w:rsidDel="00000000" w:rsidP="00000000" w:rsidRDefault="00000000" w:rsidRPr="00000000" w14:paraId="0000006A">
      <w:pPr>
        <w:numPr>
          <w:ilvl w:val="0"/>
          <w:numId w:val="3"/>
        </w:numPr>
        <w:spacing w:after="0" w:before="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Value‑at‑Risk (VaR, 95%)</w:t>
      </w:r>
      <w:r w:rsidDel="00000000" w:rsidR="00000000" w:rsidRPr="00000000">
        <w:rPr>
          <w:rFonts w:ascii="Times New Roman" w:cs="Times New Roman" w:eastAsia="Times New Roman" w:hAnsi="Times New Roman"/>
          <w:sz w:val="24"/>
          <w:szCs w:val="24"/>
          <w:highlight w:val="white"/>
          <w:rtl w:val="0"/>
        </w:rPr>
        <w:t xml:space="preserve"> = 5th percentile of daily returns</w:t>
      </w:r>
    </w:p>
    <w:p w:rsidR="00000000" w:rsidDel="00000000" w:rsidP="00000000" w:rsidRDefault="00000000" w:rsidRPr="00000000" w14:paraId="0000006B">
      <w:pPr>
        <w:numPr>
          <w:ilvl w:val="1"/>
          <w:numId w:val="3"/>
        </w:numPr>
        <w:spacing w:after="0" w:before="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=PERCENTILE.INC(FILTER(I:I, H:H="Baseline"), 0.05)</w:t>
      </w:r>
    </w:p>
    <w:p w:rsidR="00000000" w:rsidDel="00000000" w:rsidP="00000000" w:rsidRDefault="00000000" w:rsidRPr="00000000" w14:paraId="0000006C">
      <w:pPr>
        <w:numPr>
          <w:ilvl w:val="0"/>
          <w:numId w:val="3"/>
        </w:numPr>
        <w:spacing w:after="0" w:before="0"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b w:val="1"/>
          <w:bCs w:val="1"/>
          <w:sz w:val="24"/>
          <w:szCs w:val="24"/>
          <w:highlight w:val="white"/>
          <w:rtl w:val="0"/>
        </w:rPr>
        <w:t xml:space="preserve">Conditional Tail Expectation (CTE, 95%)</w:t>
      </w:r>
      <w:r w:rsidDel="00000000" w:rsidR="00000000" w:rsidRPr="00000000">
        <w:rPr>
          <w:rFonts w:ascii="Gungsuh" w:cs="Gungsuh" w:eastAsia="Gungsuh" w:hAnsi="Gungsuh"/>
          <w:sz w:val="24"/>
          <w:szCs w:val="24"/>
          <w:highlight w:val="white"/>
          <w:rtl w:val="0"/>
        </w:rPr>
        <w:t xml:space="preserve"> = Average of returns ≤ VaR</w:t>
      </w:r>
    </w:p>
    <w:p w:rsidR="00000000" w:rsidDel="00000000" w:rsidP="00000000" w:rsidRDefault="00000000" w:rsidRPr="00000000" w14:paraId="0000006D">
      <w:pPr>
        <w:numPr>
          <w:ilvl w:val="1"/>
          <w:numId w:val="3"/>
        </w:numPr>
        <w:spacing w:after="0" w:before="0" w:line="360" w:lineRule="auto"/>
        <w:ind w:left="144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=AVERAGE(FILTER(I:I, (H:H="Baseline")*(I:I&lt;=Q5)))</w:t>
      </w:r>
      <w:r w:rsidDel="00000000" w:rsidR="00000000" w:rsidRPr="00000000">
        <w:rPr>
          <w:rtl w:val="0"/>
        </w:rPr>
      </w:r>
    </w:p>
    <w:p w:rsidR="00000000" w:rsidDel="00000000" w:rsidP="00000000" w:rsidRDefault="00000000" w:rsidRPr="00000000" w14:paraId="0000006E">
      <w:pPr>
        <w:spacing w:after="0" w:before="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spacing w:after="0" w:before="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‘LNY period average’ was introduced as a new period for calculations in order to include  the entire Lunar New Year period for comparison. Our final calculations can be seen in 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highlight w:val="white"/>
          <w:rtl w:val="0"/>
        </w:rPr>
        <w:t xml:space="preserve">1.2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4"/>
          <w:szCs w:val="24"/>
          <w:highlight w:val="white"/>
        </w:rPr>
      </w:pPr>
      <w:r w:rsidDel="00000000" w:rsidR="00000000" w:rsidRPr="00000000">
        <w:rPr>
          <w:rtl w:val="0"/>
        </w:rPr>
      </w:r>
    </w:p>
    <w:tbl>
      <w:tblPr>
        <w:tblStyle w:val="Table2"/>
        <w:tblW w:w="10335.0" w:type="dxa"/>
        <w:jc w:val="left"/>
        <w:tblInd w:w="-480.0" w:type="dxa"/>
        <w:tblLayout w:type="fixed"/>
        <w:tblLook w:val="0600"/>
      </w:tblPr>
      <w:tblGrid>
        <w:gridCol w:w="1815"/>
        <w:gridCol w:w="1971.0000000000005"/>
        <w:gridCol w:w="1988.9999999999995"/>
        <w:gridCol w:w="2205"/>
        <w:gridCol w:w="2355"/>
        <w:tblGridChange w:id="0">
          <w:tblGrid>
            <w:gridCol w:w="1815"/>
            <w:gridCol w:w="1971.0000000000005"/>
            <w:gridCol w:w="1988.9999999999995"/>
            <w:gridCol w:w="2205"/>
            <w:gridCol w:w="2355"/>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1">
            <w:pPr>
              <w:jc w:val="center"/>
              <w:rPr>
                <w:rFonts w:ascii="Times New Roman" w:cs="Times New Roman" w:eastAsia="Times New Roman" w:hAnsi="Times New Roman"/>
                <w:highlight w:val="whit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2">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Pre-LNY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Post-LNY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LNY Period Average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Baseline</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6">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Av</w:t>
            </w:r>
            <w:r w:rsidDel="00000000" w:rsidR="00000000" w:rsidRPr="00000000">
              <w:rPr>
                <w:b w:val="1"/>
                <w:bCs w:val="1"/>
                <w:rtl w:val="0"/>
              </w:rPr>
              <w:t xml:space="preserve">erage</w:t>
            </w:r>
            <w:r w:rsidDel="00000000" w:rsidR="00000000" w:rsidRPr="00000000">
              <w:rPr>
                <w:rFonts w:ascii="Times New Roman" w:cs="Times New Roman" w:eastAsia="Times New Roman" w:hAnsi="Times New Roman"/>
                <w:b w:val="1"/>
                <w:bCs w:val="1"/>
                <w:highlight w:val="white"/>
                <w:rtl w:val="0"/>
              </w:rPr>
              <w:t xml:space="preserve"> Return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0.002706941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8">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-0.000016762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9">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0.001880103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A">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0.000126149</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B">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Std Dev (Daily)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C">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0.013374389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7D">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0.01895534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E">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0.015156115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7F">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0.013920275</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0">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Annualized Volatility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1">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0.212311845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2">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0.30090667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3">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0.240595873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4">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0.22097751</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5">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VaR (95%)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6">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-0.020233619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7">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-0.03028143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8">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-0.026684288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9">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-0.021339634</w:t>
            </w:r>
            <w:r w:rsidDel="00000000" w:rsidR="00000000" w:rsidRPr="00000000">
              <w:rPr>
                <w:rtl w:val="0"/>
              </w:rPr>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A">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bCs w:val="1"/>
                <w:highlight w:val="white"/>
                <w:rtl w:val="0"/>
              </w:rPr>
              <w:t xml:space="preserve">CTE (95%)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B">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-0.025779555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8C">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-0.03848836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D">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-0.038488358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center"/>
          </w:tcPr>
          <w:p w:rsidR="00000000" w:rsidDel="00000000" w:rsidP="00000000" w:rsidRDefault="00000000" w:rsidRPr="00000000" w14:paraId="0000008E">
            <w:pPr>
              <w:jc w:val="cente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-0.030068808</w:t>
            </w:r>
            <w:r w:rsidDel="00000000" w:rsidR="00000000" w:rsidRPr="00000000">
              <w:rPr>
                <w:rtl w:val="0"/>
              </w:rPr>
            </w:r>
          </w:p>
        </w:tc>
      </w:tr>
    </w:tbl>
    <w:p w:rsidR="00000000" w:rsidDel="00000000" w:rsidP="00000000" w:rsidRDefault="00000000" w:rsidRPr="00000000" w14:paraId="0000008F">
      <w:pPr>
        <w:spacing w:after="0" w:before="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0">
      <w:pPr>
        <w:spacing w:after="0" w:before="0" w:line="276" w:lineRule="auto"/>
        <w:jc w:val="center"/>
        <w:rPr/>
      </w:pPr>
      <w:r w:rsidDel="00000000" w:rsidR="00000000" w:rsidRPr="00000000">
        <w:rPr>
          <w:rFonts w:ascii="Times New Roman" w:cs="Times New Roman" w:eastAsia="Times New Roman" w:hAnsi="Times New Roman"/>
          <w:i w:val="1"/>
          <w:iCs w:val="1"/>
          <w:sz w:val="24"/>
          <w:szCs w:val="24"/>
          <w:highlight w:val="white"/>
          <w:rtl w:val="0"/>
        </w:rPr>
        <w:t xml:space="preserve">Figure </w:t>
      </w:r>
      <w:r w:rsidDel="00000000" w:rsidR="00000000" w:rsidRPr="00000000">
        <w:rPr>
          <w:i w:val="1"/>
          <w:iCs w:val="1"/>
          <w:rtl w:val="0"/>
        </w:rPr>
        <w:t xml:space="preserve">4</w:t>
      </w:r>
      <w:r w:rsidDel="00000000" w:rsidR="00000000" w:rsidRPr="00000000">
        <w:rPr>
          <w:rFonts w:ascii="Times New Roman" w:cs="Times New Roman" w:eastAsia="Times New Roman" w:hAnsi="Times New Roman"/>
          <w:i w:val="1"/>
          <w:iCs w:val="1"/>
          <w:sz w:val="24"/>
          <w:szCs w:val="24"/>
          <w:highlight w:val="white"/>
          <w:rtl w:val="0"/>
        </w:rPr>
        <w:t xml:space="preserve">.1.2 (Values of the 5 metrics calculated for each time period)</w:t>
      </w:r>
      <w:r w:rsidDel="00000000" w:rsidR="00000000" w:rsidRPr="00000000">
        <w:rPr>
          <w:rtl w:val="0"/>
        </w:rPr>
      </w:r>
    </w:p>
    <w:p w:rsidR="00000000" w:rsidDel="00000000" w:rsidP="00000000" w:rsidRDefault="00000000" w:rsidRPr="00000000" w14:paraId="00000091">
      <w:pPr>
        <w:pStyle w:val="Heading4"/>
        <w:spacing w:after="240" w:before="240" w:lineRule="auto"/>
        <w:rPr/>
      </w:pPr>
      <w:bookmarkStart w:colFirst="0" w:colLast="0" w:name="_xg8i0j7iku6d" w:id="9"/>
      <w:bookmarkEnd w:id="9"/>
      <w:r w:rsidDel="00000000" w:rsidR="00000000" w:rsidRPr="00000000">
        <w:rPr>
          <w:rtl w:val="0"/>
        </w:rPr>
        <w:t xml:space="preserve">Interpretation of Risk &amp; Returns Estimations (Pre-LNY):</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.1.2,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1"/>
        <w:keepLines w:val="1"/>
        <w:numPr>
          <w:ilvl w:val="0"/>
          <w:numId w:val="2"/>
        </w:numPr>
        <w:spacing w:after="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Averag</w:t>
      </w:r>
      <w:r w:rsidDel="00000000" w:rsidR="00000000" w:rsidRPr="00000000">
        <w:rPr>
          <w:b w:val="1"/>
          <w:bCs w:val="1"/>
          <w:rtl w:val="0"/>
        </w:rPr>
        <w:t xml:space="preserve">e</w:t>
      </w:r>
      <w:r w:rsidDel="00000000" w:rsidR="00000000" w:rsidRPr="00000000">
        <w:rPr>
          <w:rFonts w:ascii="Times New Roman" w:cs="Times New Roman" w:eastAsia="Times New Roman" w:hAnsi="Times New Roman"/>
          <w:b w:val="1"/>
          <w:bCs w:val="1"/>
          <w:sz w:val="24"/>
          <w:szCs w:val="24"/>
          <w:rtl w:val="0"/>
        </w:rPr>
        <w:t xml:space="preserve"> Return:</w:t>
      </w:r>
      <w:r w:rsidDel="00000000" w:rsidR="00000000" w:rsidRPr="00000000">
        <w:rPr>
          <w:rFonts w:ascii="Times New Roman" w:cs="Times New Roman" w:eastAsia="Times New Roman" w:hAnsi="Times New Roman"/>
          <w:sz w:val="24"/>
          <w:szCs w:val="24"/>
          <w:rtl w:val="0"/>
        </w:rPr>
        <w:t xml:space="preserve"> Pre‑LNY (0.00271) &gt; Baseline (0.00013) </w:t>
      </w:r>
    </w:p>
    <w:p w:rsidR="00000000" w:rsidDel="00000000" w:rsidP="00000000" w:rsidRDefault="00000000" w:rsidRPr="00000000" w14:paraId="00000095">
      <w:pPr>
        <w:keepNext w:val="1"/>
        <w:keepLines w:val="1"/>
        <w:numPr>
          <w:ilvl w:val="0"/>
          <w:numId w:val="2"/>
        </w:numPr>
        <w:spacing w:after="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Std Dev (Daily):</w:t>
      </w:r>
      <w:r w:rsidDel="00000000" w:rsidR="00000000" w:rsidRPr="00000000">
        <w:rPr>
          <w:rFonts w:ascii="Times New Roman" w:cs="Times New Roman" w:eastAsia="Times New Roman" w:hAnsi="Times New Roman"/>
          <w:sz w:val="24"/>
          <w:szCs w:val="24"/>
          <w:rtl w:val="0"/>
        </w:rPr>
        <w:t xml:space="preserve"> Pre‑LNY daily volatility (0.01337)  &lt; Baseline (0.01392) </w:t>
      </w:r>
    </w:p>
    <w:p w:rsidR="00000000" w:rsidDel="00000000" w:rsidP="00000000" w:rsidRDefault="00000000" w:rsidRPr="00000000" w14:paraId="00000096">
      <w:pPr>
        <w:keepNext w:val="1"/>
        <w:keepLines w:val="1"/>
        <w:numPr>
          <w:ilvl w:val="0"/>
          <w:numId w:val="2"/>
        </w:numPr>
        <w:spacing w:after="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Annualized Volatility:</w:t>
      </w:r>
      <w:r w:rsidDel="00000000" w:rsidR="00000000" w:rsidRPr="00000000">
        <w:rPr>
          <w:rFonts w:ascii="Times New Roman" w:cs="Times New Roman" w:eastAsia="Times New Roman" w:hAnsi="Times New Roman"/>
          <w:sz w:val="24"/>
          <w:szCs w:val="24"/>
          <w:rtl w:val="0"/>
        </w:rPr>
        <w:t xml:space="preserve"> Pre‑LNY (0.2123) &lt; Baseline (0.2210) </w:t>
      </w:r>
    </w:p>
    <w:p w:rsidR="00000000" w:rsidDel="00000000" w:rsidP="00000000" w:rsidRDefault="00000000" w:rsidRPr="00000000" w14:paraId="00000097">
      <w:pPr>
        <w:keepNext w:val="1"/>
        <w:keepLines w:val="1"/>
        <w:numPr>
          <w:ilvl w:val="0"/>
          <w:numId w:val="2"/>
        </w:numPr>
        <w:spacing w:after="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VaR (95%):</w:t>
      </w:r>
      <w:r w:rsidDel="00000000" w:rsidR="00000000" w:rsidRPr="00000000">
        <w:rPr>
          <w:rFonts w:ascii="Times New Roman" w:cs="Times New Roman" w:eastAsia="Times New Roman" w:hAnsi="Times New Roman"/>
          <w:sz w:val="24"/>
          <w:szCs w:val="24"/>
          <w:rtl w:val="0"/>
        </w:rPr>
        <w:t xml:space="preserve"> Pre‑LNY (-0.0202) &gt; Baseline (-0.0213) </w:t>
      </w:r>
    </w:p>
    <w:p w:rsidR="00000000" w:rsidDel="00000000" w:rsidP="00000000" w:rsidRDefault="00000000" w:rsidRPr="00000000" w14:paraId="00000098">
      <w:pPr>
        <w:keepNext w:val="1"/>
        <w:keepLines w:val="1"/>
        <w:numPr>
          <w:ilvl w:val="0"/>
          <w:numId w:val="2"/>
        </w:numPr>
        <w:spacing w:after="0" w:before="0" w:line="276"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CTE (95%):</w:t>
      </w:r>
      <w:r w:rsidDel="00000000" w:rsidR="00000000" w:rsidRPr="00000000">
        <w:rPr>
          <w:rFonts w:ascii="Times New Roman" w:cs="Times New Roman" w:eastAsia="Times New Roman" w:hAnsi="Times New Roman"/>
          <w:sz w:val="24"/>
          <w:szCs w:val="24"/>
          <w:rtl w:val="0"/>
        </w:rPr>
        <w:t xml:space="preserve"> Pre‑LNY (-0.0258)  &gt; Baseline (-0.0301) </w:t>
      </w:r>
    </w:p>
    <w:p w:rsidR="00000000" w:rsidDel="00000000" w:rsidP="00000000" w:rsidRDefault="00000000" w:rsidRPr="00000000" w14:paraId="00000099">
      <w:pPr>
        <w:keepNext w:val="1"/>
        <w:keepLines w:val="1"/>
        <w:spacing w:after="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keepNext w:val="1"/>
        <w:keepLines w:val="1"/>
        <w:spacing w:after="20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comparing the 5 metrics’ values, we concluded that Pre-LNY, the market shows </w:t>
      </w:r>
      <w:r w:rsidDel="00000000" w:rsidR="00000000" w:rsidRPr="00000000">
        <w:rPr>
          <w:rFonts w:ascii="Times New Roman" w:cs="Times New Roman" w:eastAsia="Times New Roman" w:hAnsi="Times New Roman"/>
          <w:sz w:val="24"/>
          <w:szCs w:val="24"/>
          <w:rtl w:val="0"/>
        </w:rPr>
        <w:t xml:space="preserve">lower volatility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sz w:val="24"/>
          <w:szCs w:val="24"/>
          <w:rtl w:val="0"/>
        </w:rPr>
        <w:t xml:space="preserve">smaller tail risk,</w:t>
      </w:r>
      <w:r w:rsidDel="00000000" w:rsidR="00000000" w:rsidRPr="00000000">
        <w:rPr>
          <w:rFonts w:ascii="Times New Roman" w:cs="Times New Roman" w:eastAsia="Times New Roman" w:hAnsi="Times New Roman"/>
          <w:sz w:val="24"/>
          <w:szCs w:val="24"/>
          <w:rtl w:val="0"/>
        </w:rPr>
        <w:t xml:space="preserve"> with </w:t>
      </w:r>
      <w:r w:rsidDel="00000000" w:rsidR="00000000" w:rsidRPr="00000000">
        <w:rPr>
          <w:rFonts w:ascii="Times New Roman" w:cs="Times New Roman" w:eastAsia="Times New Roman" w:hAnsi="Times New Roman"/>
          <w:sz w:val="24"/>
          <w:szCs w:val="24"/>
          <w:rtl w:val="0"/>
        </w:rPr>
        <w:t xml:space="preserve">higher returns as compared to the Baseline period.</w:t>
      </w:r>
    </w:p>
    <w:p w:rsidR="00000000" w:rsidDel="00000000" w:rsidP="00000000" w:rsidRDefault="00000000" w:rsidRPr="00000000" w14:paraId="0000009B">
      <w:pPr>
        <w:keepNext w:val="1"/>
        <w:keepLines w:val="1"/>
        <w:spacing w:after="200" w:before="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4"/>
        <w:rPr/>
      </w:pPr>
      <w:bookmarkStart w:colFirst="0" w:colLast="0" w:name="_8i977fy9ljya" w:id="10"/>
      <w:bookmarkEnd w:id="10"/>
      <w:r w:rsidDel="00000000" w:rsidR="00000000" w:rsidRPr="00000000">
        <w:rPr>
          <w:rtl w:val="0"/>
        </w:rPr>
        <w:t xml:space="preserve">Interpretation of Risk &amp; Returns Estimations (Post-LNY):</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Figure </w:t>
      </w:r>
      <w:r w:rsidDel="00000000" w:rsidR="00000000" w:rsidRPr="00000000">
        <w:rPr>
          <w:rtl w:val="0"/>
        </w:rPr>
        <w:t xml:space="preserve">4</w:t>
      </w:r>
      <w:r w:rsidDel="00000000" w:rsidR="00000000" w:rsidRPr="00000000">
        <w:rPr>
          <w:rFonts w:ascii="Times New Roman" w:cs="Times New Roman" w:eastAsia="Times New Roman" w:hAnsi="Times New Roman"/>
          <w:sz w:val="24"/>
          <w:szCs w:val="24"/>
          <w:rtl w:val="0"/>
        </w:rPr>
        <w:t xml:space="preserve">.1.2,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1"/>
        <w:keepLines w:val="1"/>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b w:val="1"/>
          <w:bCs w:val="1"/>
          <w:rtl w:val="0"/>
        </w:rPr>
        <w:t xml:space="preserve">Average</w:t>
      </w:r>
      <w:r w:rsidDel="00000000" w:rsidR="00000000" w:rsidRPr="00000000">
        <w:rPr>
          <w:rFonts w:ascii="Times New Roman" w:cs="Times New Roman" w:eastAsia="Times New Roman" w:hAnsi="Times New Roman"/>
          <w:b w:val="1"/>
          <w:bCs w:val="1"/>
          <w:sz w:val="24"/>
          <w:szCs w:val="24"/>
          <w:rtl w:val="0"/>
        </w:rPr>
        <w:t xml:space="preserve"> Return</w:t>
      </w:r>
      <w:r w:rsidDel="00000000" w:rsidR="00000000" w:rsidRPr="00000000">
        <w:rPr>
          <w:rFonts w:ascii="Times New Roman" w:cs="Times New Roman" w:eastAsia="Times New Roman" w:hAnsi="Times New Roman"/>
          <w:sz w:val="24"/>
          <w:szCs w:val="24"/>
          <w:rtl w:val="0"/>
        </w:rPr>
        <w:t xml:space="preserve">: Post‑LNY (-0.000017) &lt; Baseline (0.00013) </w:t>
      </w:r>
    </w:p>
    <w:p w:rsidR="00000000" w:rsidDel="00000000" w:rsidP="00000000" w:rsidRDefault="00000000" w:rsidRPr="00000000" w14:paraId="000000A0">
      <w:pPr>
        <w:keepNext w:val="1"/>
        <w:keepLines w:val="1"/>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Std Dev (Daily)</w:t>
      </w:r>
      <w:r w:rsidDel="00000000" w:rsidR="00000000" w:rsidRPr="00000000">
        <w:rPr>
          <w:rFonts w:ascii="Times New Roman" w:cs="Times New Roman" w:eastAsia="Times New Roman" w:hAnsi="Times New Roman"/>
          <w:sz w:val="24"/>
          <w:szCs w:val="24"/>
          <w:rtl w:val="0"/>
        </w:rPr>
        <w:t xml:space="preserve">: Post‑LNY daily volatility (0.01896) &gt; Baseline (0.01392) </w:t>
      </w:r>
    </w:p>
    <w:p w:rsidR="00000000" w:rsidDel="00000000" w:rsidP="00000000" w:rsidRDefault="00000000" w:rsidRPr="00000000" w14:paraId="000000A1">
      <w:pPr>
        <w:keepNext w:val="1"/>
        <w:keepLines w:val="1"/>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Annualized Volatility</w:t>
      </w:r>
      <w:r w:rsidDel="00000000" w:rsidR="00000000" w:rsidRPr="00000000">
        <w:rPr>
          <w:rFonts w:ascii="Times New Roman" w:cs="Times New Roman" w:eastAsia="Times New Roman" w:hAnsi="Times New Roman"/>
          <w:sz w:val="24"/>
          <w:szCs w:val="24"/>
          <w:rtl w:val="0"/>
        </w:rPr>
        <w:t xml:space="preserve">: Post‑LNY (0.3009) &gt; Baseline (0.2210) </w:t>
      </w:r>
    </w:p>
    <w:p w:rsidR="00000000" w:rsidDel="00000000" w:rsidP="00000000" w:rsidRDefault="00000000" w:rsidRPr="00000000" w14:paraId="000000A2">
      <w:pPr>
        <w:keepNext w:val="1"/>
        <w:keepLines w:val="1"/>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 (95%)</w:t>
      </w:r>
      <w:r w:rsidDel="00000000" w:rsidR="00000000" w:rsidRPr="00000000">
        <w:rPr>
          <w:rFonts w:ascii="Times New Roman" w:cs="Times New Roman" w:eastAsia="Times New Roman" w:hAnsi="Times New Roman"/>
          <w:sz w:val="24"/>
          <w:szCs w:val="24"/>
          <w:rtl w:val="0"/>
        </w:rPr>
        <w:t xml:space="preserve">: Post‑LNY (-0.0303) &lt; Baseline (-0.0213) </w:t>
      </w:r>
    </w:p>
    <w:p w:rsidR="00000000" w:rsidDel="00000000" w:rsidP="00000000" w:rsidRDefault="00000000" w:rsidRPr="00000000" w14:paraId="000000A3">
      <w:pPr>
        <w:keepNext w:val="1"/>
        <w:keepLines w:val="1"/>
        <w:numPr>
          <w:ilvl w:val="0"/>
          <w:numId w:val="4"/>
        </w:numPr>
        <w:spacing w:after="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CTE (95%)</w:t>
      </w:r>
      <w:r w:rsidDel="00000000" w:rsidR="00000000" w:rsidRPr="00000000">
        <w:rPr>
          <w:rFonts w:ascii="Times New Roman" w:cs="Times New Roman" w:eastAsia="Times New Roman" w:hAnsi="Times New Roman"/>
          <w:sz w:val="24"/>
          <w:szCs w:val="24"/>
          <w:rtl w:val="0"/>
        </w:rPr>
        <w:t xml:space="preserve">: Post‑LNY (-0.0385) &lt; Baseline (-0.0301) </w:t>
      </w:r>
      <w:r w:rsidDel="00000000" w:rsidR="00000000" w:rsidRPr="00000000">
        <w:rPr>
          <w:rtl w:val="0"/>
        </w:rPr>
      </w:r>
    </w:p>
    <w:p w:rsidR="00000000" w:rsidDel="00000000" w:rsidP="00000000" w:rsidRDefault="00000000" w:rsidRPr="00000000" w14:paraId="000000A4">
      <w:pPr>
        <w:keepNext w:val="1"/>
        <w:keepLines w:val="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By comparing the 5 metrics’ values, we concluded that Post-LNY, the market shows higher volatility and worse tail risk, with lower returns as compared to the Baseline period.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4"/>
        <w:rPr/>
      </w:pPr>
      <w:bookmarkStart w:colFirst="0" w:colLast="0" w:name="_6siqx1a96mu0" w:id="11"/>
      <w:bookmarkEnd w:id="11"/>
      <w:r w:rsidDel="00000000" w:rsidR="00000000" w:rsidRPr="00000000">
        <w:rPr>
          <w:rtl w:val="0"/>
        </w:rPr>
        <w:t xml:space="preserve">Interpretation of Risk &amp; Returns Estimations (LNY Period Average):</w:t>
      </w:r>
    </w:p>
    <w:p w:rsidR="00000000" w:rsidDel="00000000" w:rsidP="00000000" w:rsidRDefault="00000000" w:rsidRPr="00000000" w14:paraId="000000A8">
      <w:pPr>
        <w:rPr/>
      </w:pPr>
      <w:r w:rsidDel="00000000" w:rsidR="00000000" w:rsidRPr="00000000">
        <w:rPr>
          <w:rtl w:val="0"/>
        </w:rPr>
        <w:t xml:space="preserve">From Figure 4.1.2,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1"/>
        </w:numPr>
        <w:ind w:left="720" w:hanging="360"/>
      </w:pPr>
      <w:r w:rsidDel="00000000" w:rsidR="00000000" w:rsidRPr="00000000">
        <w:rPr>
          <w:b w:val="1"/>
          <w:bCs w:val="1"/>
          <w:rtl w:val="0"/>
        </w:rPr>
        <w:t xml:space="preserve">Average Return</w:t>
      </w:r>
      <w:r w:rsidDel="00000000" w:rsidR="00000000" w:rsidRPr="00000000">
        <w:rPr>
          <w:rFonts w:ascii="Cardo" w:cs="Cardo" w:eastAsia="Cardo" w:hAnsi="Cardo"/>
          <w:rtl w:val="0"/>
        </w:rPr>
        <w:t xml:space="preserve">: LNY average (0.00188) &gt; Baseline (0.00013) → overall positive return effect across the holiday window.</w:t>
      </w:r>
    </w:p>
    <w:p w:rsidR="00000000" w:rsidDel="00000000" w:rsidP="00000000" w:rsidRDefault="00000000" w:rsidRPr="00000000" w14:paraId="000000AB">
      <w:pPr>
        <w:numPr>
          <w:ilvl w:val="0"/>
          <w:numId w:val="1"/>
        </w:numPr>
        <w:ind w:left="720" w:hanging="360"/>
      </w:pPr>
      <w:r w:rsidDel="00000000" w:rsidR="00000000" w:rsidRPr="00000000">
        <w:rPr>
          <w:b w:val="1"/>
          <w:bCs w:val="1"/>
          <w:rtl w:val="0"/>
        </w:rPr>
        <w:t xml:space="preserve">Std Dev (Daily)</w:t>
      </w:r>
      <w:r w:rsidDel="00000000" w:rsidR="00000000" w:rsidRPr="00000000">
        <w:rPr>
          <w:rtl w:val="0"/>
        </w:rPr>
        <w:t xml:space="preserve">: LNY average (0.01516) &gt; Baseline (0.01392) </w:t>
      </w:r>
    </w:p>
    <w:p w:rsidR="00000000" w:rsidDel="00000000" w:rsidP="00000000" w:rsidRDefault="00000000" w:rsidRPr="00000000" w14:paraId="000000AC">
      <w:pPr>
        <w:numPr>
          <w:ilvl w:val="0"/>
          <w:numId w:val="1"/>
        </w:numPr>
        <w:ind w:left="720" w:hanging="360"/>
      </w:pPr>
      <w:r w:rsidDel="00000000" w:rsidR="00000000" w:rsidRPr="00000000">
        <w:rPr>
          <w:b w:val="1"/>
          <w:bCs w:val="1"/>
          <w:rtl w:val="0"/>
        </w:rPr>
        <w:t xml:space="preserve">Annualized Volatility</w:t>
      </w:r>
      <w:r w:rsidDel="00000000" w:rsidR="00000000" w:rsidRPr="00000000">
        <w:rPr>
          <w:rtl w:val="0"/>
        </w:rPr>
        <w:t xml:space="preserve">: LNY average (0.2406) &gt; Baseline (0.2210) </w:t>
      </w:r>
    </w:p>
    <w:p w:rsidR="00000000" w:rsidDel="00000000" w:rsidP="00000000" w:rsidRDefault="00000000" w:rsidRPr="00000000" w14:paraId="000000AD">
      <w:pPr>
        <w:numPr>
          <w:ilvl w:val="0"/>
          <w:numId w:val="1"/>
        </w:numPr>
        <w:ind w:left="720" w:hanging="360"/>
      </w:pPr>
      <w:r w:rsidDel="00000000" w:rsidR="00000000" w:rsidRPr="00000000">
        <w:rPr>
          <w:b w:val="1"/>
          <w:bCs w:val="1"/>
          <w:rtl w:val="0"/>
        </w:rPr>
        <w:t xml:space="preserve">VaR (95%)</w:t>
      </w:r>
      <w:r w:rsidDel="00000000" w:rsidR="00000000" w:rsidRPr="00000000">
        <w:rPr>
          <w:rtl w:val="0"/>
        </w:rPr>
        <w:t xml:space="preserve">: LNY average (-0.0267) &lt; Baseline (-0.0213) </w:t>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CTE (95%)</w:t>
      </w:r>
      <w:r w:rsidDel="00000000" w:rsidR="00000000" w:rsidRPr="00000000">
        <w:rPr>
          <w:rtl w:val="0"/>
        </w:rPr>
        <w:t xml:space="preserve">: LNY average (-0.0385) &lt; Baseline (-0.0301)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By comparing the 5 metrics’ values, we concluded that the LNY period as a whole delivers higher average returns but comes with greater volatility and deeper downside risk compared to Baseline period. However, our team does note that for the LNY period as a whole, the higher average returns are mainly attributed to the Pre-LNY periods while the higher risks are mainly attributed to the Post-LNY period.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q1jxfr9542dq" w:id="12"/>
      <w:bookmarkEnd w:id="12"/>
      <w:r w:rsidDel="00000000" w:rsidR="00000000" w:rsidRPr="00000000">
        <w:rPr>
          <w:rtl w:val="0"/>
        </w:rPr>
        <w:t xml:space="preserve">4.2 Sharpe Ratio</w:t>
      </w:r>
    </w:p>
    <w:p w:rsidR="00000000" w:rsidDel="00000000" w:rsidP="00000000" w:rsidRDefault="00000000" w:rsidRPr="00000000" w14:paraId="000000B3">
      <w:pPr>
        <w:rPr/>
      </w:pPr>
      <w:r w:rsidDel="00000000" w:rsidR="00000000" w:rsidRPr="00000000">
        <w:rPr>
          <w:rtl w:val="0"/>
        </w:rPr>
        <w:t xml:space="preserve">Additionally, our team has also calculated the Sharpe Ratio for all 4 time periods in order to measure the risk adjusted returns of an investment, in order to conduct a more meaningful comparison of the average return values between the periods by accounting for any risk. This allows our analysis to distinguish between periods of genuine higher returns and those where higher returns may simply reflect greater risk exposure.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tbl>
      <w:tblPr>
        <w:tblStyle w:val="Table3"/>
        <w:tblW w:w="9360.0" w:type="dxa"/>
        <w:jc w:val="left"/>
        <w:tblLayout w:type="fixed"/>
        <w:tblLook w:val="0600"/>
      </w:tblPr>
      <w:tblGrid>
        <w:gridCol w:w="2105.020920502092"/>
        <w:gridCol w:w="2574.9790794979076"/>
        <w:gridCol w:w="2604.3514644351467"/>
        <w:gridCol w:w="2075.648535564854"/>
        <w:tblGridChange w:id="0">
          <w:tblGrid>
            <w:gridCol w:w="2105.020920502092"/>
            <w:gridCol w:w="2574.9790794979076"/>
            <w:gridCol w:w="2604.3514644351467"/>
            <w:gridCol w:w="2075.648535564854"/>
          </w:tblGrid>
        </w:tblGridChange>
      </w:tblGrid>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shd w:fill="auto" w:val="clear"/>
              </w:rPr>
            </w:pPr>
            <w:r w:rsidDel="00000000" w:rsidR="00000000" w:rsidRPr="00000000">
              <w:rPr>
                <w:shd w:fill="auto" w:val="clear"/>
                <w:rtl w:val="0"/>
              </w:rPr>
              <w:t xml:space="preserve">Period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shd w:fill="auto" w:val="clear"/>
              </w:rPr>
            </w:pPr>
            <w:r w:rsidDel="00000000" w:rsidR="00000000" w:rsidRPr="00000000">
              <w:rPr>
                <w:shd w:fill="auto" w:val="clear"/>
                <w:rtl w:val="0"/>
              </w:rPr>
              <w:t xml:space="preserve">Avg Return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line="240" w:lineRule="auto"/>
              <w:rPr>
                <w:shd w:fill="auto" w:val="clear"/>
              </w:rPr>
            </w:pPr>
            <w:r w:rsidDel="00000000" w:rsidR="00000000" w:rsidRPr="00000000">
              <w:rPr>
                <w:shd w:fill="auto" w:val="clear"/>
                <w:rtl w:val="0"/>
              </w:rPr>
              <w:t xml:space="preserve">Std Dev (Daily)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line="240" w:lineRule="auto"/>
              <w:rPr>
                <w:shd w:fill="auto" w:val="clear"/>
              </w:rPr>
            </w:pPr>
            <w:r w:rsidDel="00000000" w:rsidR="00000000" w:rsidRPr="00000000">
              <w:rPr>
                <w:shd w:fill="auto" w:val="clear"/>
                <w:rtl w:val="0"/>
              </w:rPr>
              <w:t xml:space="preserve">Sharpe Ratio</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line="240" w:lineRule="auto"/>
              <w:rPr>
                <w:shd w:fill="auto" w:val="clear"/>
              </w:rPr>
            </w:pPr>
            <w:r w:rsidDel="00000000" w:rsidR="00000000" w:rsidRPr="00000000">
              <w:rPr>
                <w:shd w:fill="auto" w:val="clear"/>
                <w:rtl w:val="0"/>
              </w:rPr>
              <w:t xml:space="preserve">Pre‑LNY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line="240" w:lineRule="auto"/>
              <w:rPr>
                <w:shd w:fill="auto" w:val="clear"/>
              </w:rPr>
            </w:pPr>
            <w:r w:rsidDel="00000000" w:rsidR="00000000" w:rsidRPr="00000000">
              <w:rPr>
                <w:shd w:fill="auto" w:val="clear"/>
                <w:rtl w:val="0"/>
              </w:rPr>
              <w:t xml:space="preserve">0.0027069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line="240" w:lineRule="auto"/>
              <w:rPr>
                <w:shd w:fill="auto" w:val="clear"/>
              </w:rPr>
            </w:pPr>
            <w:r w:rsidDel="00000000" w:rsidR="00000000" w:rsidRPr="00000000">
              <w:rPr>
                <w:shd w:fill="auto" w:val="clear"/>
                <w:rtl w:val="0"/>
              </w:rPr>
              <w:t xml:space="preserve">0.013374389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shd w:fill="auto" w:val="clear"/>
              </w:rPr>
            </w:pPr>
            <w:r w:rsidDel="00000000" w:rsidR="00000000" w:rsidRPr="00000000">
              <w:rPr>
                <w:shd w:fill="auto" w:val="clear"/>
                <w:rtl w:val="0"/>
              </w:rPr>
              <w:t xml:space="preserve">0.1939</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shd w:fill="auto" w:val="clear"/>
              </w:rPr>
            </w:pPr>
            <w:r w:rsidDel="00000000" w:rsidR="00000000" w:rsidRPr="00000000">
              <w:rPr>
                <w:shd w:fill="auto" w:val="clear"/>
                <w:rtl w:val="0"/>
              </w:rPr>
              <w:t xml:space="preserve">Post‑LNY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shd w:fill="auto" w:val="clear"/>
              </w:rPr>
            </w:pPr>
            <w:r w:rsidDel="00000000" w:rsidR="00000000" w:rsidRPr="00000000">
              <w:rPr>
                <w:rFonts w:ascii="Gungsuh" w:cs="Gungsuh" w:eastAsia="Gungsuh" w:hAnsi="Gungsuh"/>
                <w:shd w:fill="auto" w:val="clear"/>
                <w:rtl w:val="0"/>
              </w:rPr>
              <w:t xml:space="preserve">−0.00001676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shd w:fill="auto" w:val="clear"/>
              </w:rPr>
            </w:pPr>
            <w:r w:rsidDel="00000000" w:rsidR="00000000" w:rsidRPr="00000000">
              <w:rPr>
                <w:shd w:fill="auto" w:val="clear"/>
                <w:rtl w:val="0"/>
              </w:rPr>
              <w:t xml:space="preserve">0.01895534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shd w:fill="auto" w:val="clear"/>
              </w:rPr>
            </w:pPr>
            <w:r w:rsidDel="00000000" w:rsidR="00000000" w:rsidRPr="00000000">
              <w:rPr>
                <w:rFonts w:ascii="Gungsuh" w:cs="Gungsuh" w:eastAsia="Gungsuh" w:hAnsi="Gungsuh"/>
                <w:shd w:fill="auto" w:val="clear"/>
                <w:rtl w:val="0"/>
              </w:rPr>
              <w:t xml:space="preserve">−0.0071</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shd w:fill="auto" w:val="clear"/>
              </w:rPr>
            </w:pPr>
            <w:r w:rsidDel="00000000" w:rsidR="00000000" w:rsidRPr="00000000">
              <w:rPr>
                <w:shd w:fill="auto" w:val="clear"/>
                <w:rtl w:val="0"/>
              </w:rPr>
              <w:t xml:space="preserve">LNY Avg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shd w:fill="auto" w:val="clear"/>
              </w:rPr>
            </w:pPr>
            <w:r w:rsidDel="00000000" w:rsidR="00000000" w:rsidRPr="00000000">
              <w:rPr>
                <w:shd w:fill="auto" w:val="clear"/>
                <w:rtl w:val="0"/>
              </w:rPr>
              <w:t xml:space="preserve">0.00188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shd w:fill="auto" w:val="clear"/>
              </w:rPr>
            </w:pPr>
            <w:r w:rsidDel="00000000" w:rsidR="00000000" w:rsidRPr="00000000">
              <w:rPr>
                <w:shd w:fill="auto" w:val="clear"/>
                <w:rtl w:val="0"/>
              </w:rPr>
              <w:t xml:space="preserve">0.015156115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line="240" w:lineRule="auto"/>
              <w:rPr>
                <w:shd w:fill="auto" w:val="clear"/>
              </w:rPr>
            </w:pPr>
            <w:r w:rsidDel="00000000" w:rsidR="00000000" w:rsidRPr="00000000">
              <w:rPr>
                <w:shd w:fill="auto" w:val="clear"/>
                <w:rtl w:val="0"/>
              </w:rPr>
              <w:t xml:space="preserve">0.1163</w:t>
            </w:r>
          </w:p>
        </w:tc>
      </w:tr>
      <w:tr>
        <w:trPr>
          <w:cantSplit w:val="0"/>
          <w:trHeight w:val="288"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line="240" w:lineRule="auto"/>
              <w:rPr>
                <w:shd w:fill="auto" w:val="clear"/>
              </w:rPr>
            </w:pPr>
            <w:r w:rsidDel="00000000" w:rsidR="00000000" w:rsidRPr="00000000">
              <w:rPr>
                <w:shd w:fill="auto" w:val="clear"/>
                <w:rtl w:val="0"/>
              </w:rPr>
              <w:t xml:space="preserve">Baseline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line="240" w:lineRule="auto"/>
              <w:rPr>
                <w:shd w:fill="auto" w:val="clear"/>
              </w:rPr>
            </w:pPr>
            <w:r w:rsidDel="00000000" w:rsidR="00000000" w:rsidRPr="00000000">
              <w:rPr>
                <w:shd w:fill="auto" w:val="clear"/>
                <w:rtl w:val="0"/>
              </w:rPr>
              <w:t xml:space="preserve">0.0001261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line="240" w:lineRule="auto"/>
              <w:rPr>
                <w:shd w:fill="auto" w:val="clear"/>
              </w:rPr>
            </w:pPr>
            <w:r w:rsidDel="00000000" w:rsidR="00000000" w:rsidRPr="00000000">
              <w:rPr>
                <w:shd w:fill="auto" w:val="clear"/>
                <w:rtl w:val="0"/>
              </w:rPr>
              <w:t xml:space="preserve">0.013920275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line="240" w:lineRule="auto"/>
              <w:rPr>
                <w:shd w:fill="auto" w:val="clear"/>
              </w:rPr>
            </w:pPr>
            <w:r w:rsidDel="00000000" w:rsidR="00000000" w:rsidRPr="00000000">
              <w:rPr>
                <w:shd w:fill="auto" w:val="clear"/>
                <w:rtl w:val="0"/>
              </w:rPr>
              <w:t xml:space="preserve">0.0005</w:t>
            </w:r>
          </w:p>
        </w:tc>
      </w:tr>
    </w:tbl>
    <w:p w:rsidR="00000000" w:rsidDel="00000000" w:rsidP="00000000" w:rsidRDefault="00000000" w:rsidRPr="00000000" w14:paraId="000000CA">
      <w:pPr>
        <w:rPr>
          <w:i w:val="1"/>
          <w:iCs w:val="1"/>
        </w:rPr>
      </w:pPr>
      <w:r w:rsidDel="00000000" w:rsidR="00000000" w:rsidRPr="00000000">
        <w:rPr>
          <w:rFonts w:ascii="Gungsuh" w:cs="Gungsuh" w:eastAsia="Gungsuh" w:hAnsi="Gungsuh"/>
          <w:i w:val="1"/>
          <w:iCs w:val="1"/>
          <w:rtl w:val="0"/>
        </w:rPr>
        <w:t xml:space="preserve">** Sharpe Ratio = (Avg Return − Rf) / Std Dev (Daily)</w:t>
      </w:r>
    </w:p>
    <w:p w:rsidR="00000000" w:rsidDel="00000000" w:rsidP="00000000" w:rsidRDefault="00000000" w:rsidRPr="00000000" w14:paraId="000000CB">
      <w:pPr>
        <w:rPr>
          <w:i w:val="1"/>
          <w:iCs w:val="1"/>
        </w:rPr>
      </w:pPr>
      <w:r w:rsidDel="00000000" w:rsidR="00000000" w:rsidRPr="00000000">
        <w:rPr>
          <w:i w:val="1"/>
          <w:iCs w:val="1"/>
          <w:rtl w:val="0"/>
        </w:rPr>
        <w:t xml:space="preserve">** Annual Risk-free rate = 2.986% (Taken from Hong Kong 10-Year Bond Yield on 21/11 2025)</w:t>
      </w:r>
    </w:p>
    <w:p w:rsidR="00000000" w:rsidDel="00000000" w:rsidP="00000000" w:rsidRDefault="00000000" w:rsidRPr="00000000" w14:paraId="000000CC">
      <w:pPr>
        <w:rPr>
          <w:i w:val="1"/>
          <w:iCs w:val="1"/>
        </w:rPr>
      </w:pPr>
      <w:r w:rsidDel="00000000" w:rsidR="00000000" w:rsidRPr="00000000">
        <w:rPr>
          <w:i w:val="1"/>
          <w:iCs w:val="1"/>
          <w:rtl w:val="0"/>
        </w:rPr>
        <w:t xml:space="preserve">**Daily Risk-free rate = 2.986%/252 = 0.000118</w:t>
      </w:r>
    </w:p>
    <w:p w:rsidR="00000000" w:rsidDel="00000000" w:rsidP="00000000" w:rsidRDefault="00000000" w:rsidRPr="00000000" w14:paraId="000000CD">
      <w:pPr>
        <w:rPr>
          <w:i w:val="1"/>
          <w:iCs w:val="1"/>
        </w:rPr>
      </w:pPr>
      <w:r w:rsidDel="00000000" w:rsidR="00000000" w:rsidRPr="00000000">
        <w:rPr>
          <w:i w:val="1"/>
          <w:iCs w:val="1"/>
          <w:rtl w:val="0"/>
        </w:rPr>
        <w:t xml:space="preserve">**252 trading days in a year</w:t>
      </w:r>
    </w:p>
    <w:p w:rsidR="00000000" w:rsidDel="00000000" w:rsidP="00000000" w:rsidRDefault="00000000" w:rsidRPr="00000000" w14:paraId="000000CE">
      <w:pPr>
        <w:rPr>
          <w:i w:val="1"/>
          <w:iCs w:val="1"/>
        </w:rPr>
      </w:pPr>
      <w:r w:rsidDel="00000000" w:rsidR="00000000" w:rsidRPr="00000000">
        <w:rPr>
          <w:rtl w:val="0"/>
        </w:rPr>
      </w:r>
    </w:p>
    <w:p w:rsidR="00000000" w:rsidDel="00000000" w:rsidP="00000000" w:rsidRDefault="00000000" w:rsidRPr="00000000" w14:paraId="000000CF">
      <w:pPr>
        <w:pStyle w:val="Heading4"/>
        <w:rPr/>
      </w:pPr>
      <w:bookmarkStart w:colFirst="0" w:colLast="0" w:name="_3dhduiay8n04" w:id="13"/>
      <w:bookmarkEnd w:id="13"/>
      <w:r w:rsidDel="00000000" w:rsidR="00000000" w:rsidRPr="00000000">
        <w:rPr>
          <w:rtl w:val="0"/>
        </w:rPr>
        <w:t xml:space="preserve">Interpretation of Sharpe Ratios</w:t>
      </w:r>
    </w:p>
    <w:p w:rsidR="00000000" w:rsidDel="00000000" w:rsidP="00000000" w:rsidRDefault="00000000" w:rsidRPr="00000000" w14:paraId="000000D0">
      <w:pPr>
        <w:rPr/>
      </w:pPr>
      <w:r w:rsidDel="00000000" w:rsidR="00000000" w:rsidRPr="00000000">
        <w:rPr>
          <w:rtl w:val="0"/>
        </w:rPr>
        <w:t xml:space="preserve">For the baseline period, there is a near-zero Sharpe Ratio, showing that the market delivers minimal excess return per unit of risk during normal periods. This is to be expected for baseline periods.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Pre-LNY, a sharpe ratio of 0.1939 shows a relatively strong risk-adjusted performance as compared to other periods. Returns are high relative to volatility, suggesting a possible pre-holiday optimism effect.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Post-LNY, the slightly negative sharpe ratio of -0.0071 shows that returns do not compensate for risk, sugge</w:t>
      </w:r>
      <w:r w:rsidDel="00000000" w:rsidR="00000000" w:rsidRPr="00000000">
        <w:rPr>
          <w:rtl w:val="0"/>
        </w:rPr>
        <w:t xml:space="preserve">sting risk rebound or fading optimism after LNY holiday.</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For the LNY period as a whole, a sharpe ratio of 0.1163 is a moderate increase compared to Baseline. This shows that there is a net positive effect on risk-adjusted average returns during the LNY window, but it is less prominent than during just the Pre‑LNY period.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rPr/>
      </w:pPr>
      <w:bookmarkStart w:colFirst="0" w:colLast="0" w:name="_yuy115sa4nc5" w:id="14"/>
      <w:bookmarkEnd w:id="14"/>
      <w:r w:rsidDel="00000000" w:rsidR="00000000" w:rsidRPr="00000000">
        <w:rPr>
          <w:rtl w:val="0"/>
        </w:rPr>
        <w:t xml:space="preserve">5</w:t>
      </w:r>
      <w:r w:rsidDel="00000000" w:rsidR="00000000" w:rsidRPr="00000000">
        <w:rPr>
          <w:rtl w:val="0"/>
        </w:rPr>
        <w:t xml:space="preserve"> Hypothesis Testing</w:t>
      </w:r>
    </w:p>
    <w:p w:rsidR="00000000" w:rsidDel="00000000" w:rsidP="00000000" w:rsidRDefault="00000000" w:rsidRPr="00000000" w14:paraId="000000DA">
      <w:pPr>
        <w:rPr/>
      </w:pPr>
      <w:r w:rsidDel="00000000" w:rsidR="00000000" w:rsidRPr="00000000">
        <w:rPr>
          <w:rtl w:val="0"/>
        </w:rPr>
        <w:t xml:space="preserve">This study aims to rigorously test the phenomenon where mean returns and volatility, in the Hong Kong stock market, systematically changes in windows around the Lunar New Year (LNY) holiday. To assess this ‘LNY’ effect, a robust set of null and alternative hypotheses are set up to statistically validate both return and risk metrics around the holiday.</w:t>
      </w:r>
    </w:p>
    <w:p w:rsidR="00000000" w:rsidDel="00000000" w:rsidP="00000000" w:rsidRDefault="00000000" w:rsidRPr="00000000" w14:paraId="000000DB">
      <w:pPr>
        <w:pStyle w:val="Heading3"/>
        <w:rPr/>
      </w:pPr>
      <w:bookmarkStart w:colFirst="0" w:colLast="0" w:name="_shmxomahkq75" w:id="15"/>
      <w:bookmarkEnd w:id="15"/>
      <w:r w:rsidDel="00000000" w:rsidR="00000000" w:rsidRPr="00000000">
        <w:rPr>
          <w:rtl w:val="0"/>
        </w:rPr>
        <w:t xml:space="preserve">5.1 Simple Mean Returns</w:t>
      </w:r>
    </w:p>
    <w:p w:rsidR="00000000" w:rsidDel="00000000" w:rsidP="00000000" w:rsidRDefault="00000000" w:rsidRPr="00000000" w14:paraId="000000DC">
      <w:pPr>
        <w:rPr/>
      </w:pPr>
      <w:r w:rsidDel="00000000" w:rsidR="00000000" w:rsidRPr="00000000">
        <w:rPr>
          <w:rtl w:val="0"/>
        </w:rPr>
        <w:t xml:space="preserve">Table 5.1 below will clearly display the summary of the hypothesis tests that we have used to compare Simple Mean Returns between the three periods (Pre-LNY, Post-LNY, Baseline). The set of null and alternative hypotheses used is of the format below:</w:t>
      </w:r>
    </w:p>
    <w:p w:rsidR="00000000" w:rsidDel="00000000" w:rsidP="00000000" w:rsidRDefault="00000000" w:rsidRPr="00000000" w14:paraId="000000DD">
      <w:pPr>
        <w:rPr/>
      </w:pPr>
      <w:r w:rsidDel="00000000" w:rsidR="00000000" w:rsidRPr="00000000">
        <w:rPr>
          <w:b w:val="1"/>
          <w:bCs w:val="1"/>
          <w:rtl w:val="0"/>
        </w:rPr>
        <w:t xml:space="preserve">H0</w:t>
      </w:r>
      <w:r w:rsidDel="00000000" w:rsidR="00000000" w:rsidRPr="00000000">
        <w:rPr>
          <w:rtl w:val="0"/>
        </w:rPr>
        <w:t xml:space="preserve">: The mean simple returns of [Period 1] is NOT statistically different from that of [Period 2]</w:t>
      </w:r>
    </w:p>
    <w:p w:rsidR="00000000" w:rsidDel="00000000" w:rsidP="00000000" w:rsidRDefault="00000000" w:rsidRPr="00000000" w14:paraId="000000DE">
      <w:pPr>
        <w:rPr/>
      </w:pPr>
      <w:r w:rsidDel="00000000" w:rsidR="00000000" w:rsidRPr="00000000">
        <w:rPr>
          <w:b w:val="1"/>
          <w:bCs w:val="1"/>
          <w:rtl w:val="0"/>
        </w:rPr>
        <w:t xml:space="preserve">H1</w:t>
      </w:r>
      <w:r w:rsidDel="00000000" w:rsidR="00000000" w:rsidRPr="00000000">
        <w:rPr>
          <w:rtl w:val="0"/>
        </w:rPr>
        <w:t xml:space="preserve">: The mean simple returns of [Period 1] IS statistically different from that of [Period 2]</w:t>
      </w:r>
    </w:p>
    <w:p w:rsidR="00000000" w:rsidDel="00000000" w:rsidP="00000000" w:rsidRDefault="00000000" w:rsidRPr="00000000" w14:paraId="000000DF">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5.2703471826976"/>
        <w:gridCol w:w="1355.7882754695504"/>
        <w:gridCol w:w="1355.7882754695504"/>
        <w:gridCol w:w="1355.7882754695504"/>
        <w:gridCol w:w="1355.7882754695504"/>
        <w:gridCol w:w="1355.7882754695504"/>
        <w:gridCol w:w="1355.7882754695504"/>
        <w:tblGridChange w:id="0">
          <w:tblGrid>
            <w:gridCol w:w="1225.2703471826976"/>
            <w:gridCol w:w="1355.7882754695504"/>
            <w:gridCol w:w="1355.7882754695504"/>
            <w:gridCol w:w="1355.7882754695504"/>
            <w:gridCol w:w="1355.7882754695504"/>
            <w:gridCol w:w="1355.7882754695504"/>
            <w:gridCol w:w="1355.7882754695504"/>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Test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Period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Mean Return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Sample Size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T-statistic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p-value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Statistically Different?</w:t>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Pre-LNY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1.1946</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0.24</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Post-LNY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-0.0310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0.98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shd w:fill="fce5cd" w:val="clear"/>
                <w:rtl w:val="0"/>
              </w:rPr>
              <w:t xml:space="preserve">Pre-LNY vs 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0.002707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0.5370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fce5cd"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-0.000017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11">
      <w:pPr>
        <w:jc w:val="center"/>
        <w:rPr/>
      </w:pPr>
      <w:r w:rsidDel="00000000" w:rsidR="00000000" w:rsidRPr="00000000">
        <w:rPr>
          <w:rtl w:val="0"/>
        </w:rPr>
        <w:t xml:space="preserve">Table 5.1</w:t>
      </w:r>
    </w:p>
    <w:p w:rsidR="00000000" w:rsidDel="00000000" w:rsidP="00000000" w:rsidRDefault="00000000" w:rsidRPr="00000000" w14:paraId="00000112">
      <w:pPr>
        <w:jc w:val="cente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Using the results above obtained through conducting rigorous two-sample t-tests (for means with unequal variances), we find that none of the test results are statistically significant for us to conclude that there could be an effect on the mean returns between windows around the LNY holiday, at the 5% level of significance.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Test 1 &amp; 2</w:t>
      </w:r>
      <w:r w:rsidDel="00000000" w:rsidR="00000000" w:rsidRPr="00000000">
        <w:rPr>
          <w:rtl w:val="0"/>
        </w:rPr>
        <w:t xml:space="preserve">: Although the Pre-LNY period shows a higher mean return (Post-LNY shows lower mean return) than the Baseline period, this difference is not statistically significant mainly due to the Pre-LNY sample of 39 days (Post-LNY sample of 17 days) being very small relative to the inherent daily volatility. Furthermore, the small sample size penalizes the statistical power of the test, and we are inclined to attribute the apparent difference in mean returns to random sampling variation and market movements.</w:t>
      </w:r>
    </w:p>
    <w:p w:rsidR="00000000" w:rsidDel="00000000" w:rsidP="00000000" w:rsidRDefault="00000000" w:rsidRPr="00000000" w14:paraId="00000116">
      <w:pPr>
        <w:rPr/>
      </w:pPr>
      <w:r w:rsidDel="00000000" w:rsidR="00000000" w:rsidRPr="00000000">
        <w:rPr>
          <w:b w:val="1"/>
          <w:bCs w:val="1"/>
          <w:rtl w:val="0"/>
        </w:rPr>
        <w:t xml:space="preserve">Test 3</w:t>
      </w:r>
      <w:r w:rsidDel="00000000" w:rsidR="00000000" w:rsidRPr="00000000">
        <w:rPr>
          <w:rtl w:val="0"/>
        </w:rPr>
        <w:t xml:space="preserve">: Though the Pre-LNY period shows a substantially higher mean return than the Post-LNY period, this difference is not statistically significant at the 5% level of significance, hence we fail to reject H0, indicating that the apparent difference in mean returns cannot be distinguished from random variation when accounting for small sample sizes.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ammummtjkere" w:id="16"/>
      <w:bookmarkEnd w:id="16"/>
      <w:r w:rsidDel="00000000" w:rsidR="00000000" w:rsidRPr="00000000">
        <w:rPr>
          <w:rtl w:val="0"/>
        </w:rPr>
        <w:t xml:space="preserve">5.2 Variances</w:t>
      </w:r>
    </w:p>
    <w:p w:rsidR="00000000" w:rsidDel="00000000" w:rsidP="00000000" w:rsidRDefault="00000000" w:rsidRPr="00000000" w14:paraId="00000119">
      <w:pPr>
        <w:rPr/>
      </w:pPr>
      <w:r w:rsidDel="00000000" w:rsidR="00000000" w:rsidRPr="00000000">
        <w:rPr>
          <w:rtl w:val="0"/>
        </w:rPr>
        <w:t xml:space="preserve">Table 5.2 below will clearly display the summary of the hypothesis tests that we have used to compare Variances between the three periods (Pre-LNY, Post-LNY, Baseline). The set of null and alternative hypotheses used is of the format below:</w:t>
      </w:r>
    </w:p>
    <w:p w:rsidR="00000000" w:rsidDel="00000000" w:rsidP="00000000" w:rsidRDefault="00000000" w:rsidRPr="00000000" w14:paraId="0000011A">
      <w:pPr>
        <w:rPr/>
      </w:pPr>
      <w:r w:rsidDel="00000000" w:rsidR="00000000" w:rsidRPr="00000000">
        <w:rPr>
          <w:b w:val="1"/>
          <w:bCs w:val="1"/>
          <w:rtl w:val="0"/>
        </w:rPr>
        <w:t xml:space="preserve">H0</w:t>
      </w:r>
      <w:r w:rsidDel="00000000" w:rsidR="00000000" w:rsidRPr="00000000">
        <w:rPr>
          <w:rtl w:val="0"/>
        </w:rPr>
        <w:t xml:space="preserve">: The variance of [Period 1] is NOT statistically different from that of [Period 2]</w:t>
      </w:r>
    </w:p>
    <w:p w:rsidR="00000000" w:rsidDel="00000000" w:rsidP="00000000" w:rsidRDefault="00000000" w:rsidRPr="00000000" w14:paraId="0000011B">
      <w:pPr>
        <w:rPr/>
      </w:pPr>
      <w:r w:rsidDel="00000000" w:rsidR="00000000" w:rsidRPr="00000000">
        <w:rPr>
          <w:b w:val="1"/>
          <w:bCs w:val="1"/>
          <w:rtl w:val="0"/>
        </w:rPr>
        <w:t xml:space="preserve">H1</w:t>
      </w:r>
      <w:r w:rsidDel="00000000" w:rsidR="00000000" w:rsidRPr="00000000">
        <w:rPr>
          <w:rtl w:val="0"/>
        </w:rPr>
        <w:t xml:space="preserve">: The variance of [Period 1] IS statistically different from that of [Period 2]</w:t>
      </w:r>
    </w:p>
    <w:p w:rsidR="00000000" w:rsidDel="00000000" w:rsidP="00000000" w:rsidRDefault="00000000" w:rsidRPr="00000000" w14:paraId="0000011C">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25.2703471826976"/>
        <w:gridCol w:w="1355.7882754695504"/>
        <w:gridCol w:w="1355.7882754695504"/>
        <w:gridCol w:w="1355.7882754695504"/>
        <w:gridCol w:w="1355.7882754695504"/>
        <w:gridCol w:w="1355.7882754695504"/>
        <w:gridCol w:w="1355.7882754695504"/>
        <w:tblGridChange w:id="0">
          <w:tblGrid>
            <w:gridCol w:w="1225.2703471826976"/>
            <w:gridCol w:w="1355.7882754695504"/>
            <w:gridCol w:w="1355.7882754695504"/>
            <w:gridCol w:w="1355.7882754695504"/>
            <w:gridCol w:w="1355.7882754695504"/>
            <w:gridCol w:w="1355.7882754695504"/>
            <w:gridCol w:w="1355.7882754695504"/>
          </w:tblGrid>
        </w:tblGridChange>
      </w:tblGrid>
      <w:tr>
        <w:trPr>
          <w:cantSplit w:val="0"/>
          <w:trHeight w:val="44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shd w:fill="cfe2f3" w:val="clear"/>
              </w:rPr>
            </w:pPr>
            <w:r w:rsidDel="00000000" w:rsidR="00000000" w:rsidRPr="00000000">
              <w:rPr>
                <w:shd w:fill="cfe2f3" w:val="clear"/>
                <w:rtl w:val="0"/>
              </w:rPr>
              <w:t xml:space="preserve">Test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hd w:fill="cfe2f3" w:val="clear"/>
              </w:rPr>
            </w:pPr>
            <w:r w:rsidDel="00000000" w:rsidR="00000000" w:rsidRPr="00000000">
              <w:rPr>
                <w:shd w:fill="cfe2f3" w:val="clear"/>
                <w:rtl w:val="0"/>
              </w:rPr>
              <w:t xml:space="preserve">Period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shd w:fill="cfe2f3" w:val="clear"/>
              </w:rPr>
            </w:pPr>
            <w:r w:rsidDel="00000000" w:rsidR="00000000" w:rsidRPr="00000000">
              <w:rPr>
                <w:shd w:fill="cfe2f3" w:val="clear"/>
                <w:rtl w:val="0"/>
              </w:rPr>
              <w:t xml:space="preserve">Variance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hd w:fill="cfe2f3" w:val="clear"/>
              </w:rPr>
            </w:pPr>
            <w:r w:rsidDel="00000000" w:rsidR="00000000" w:rsidRPr="00000000">
              <w:rPr>
                <w:shd w:fill="cfe2f3" w:val="clear"/>
                <w:rtl w:val="0"/>
              </w:rPr>
              <w:t xml:space="preserve">Sample Size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shd w:fill="cfe2f3" w:val="clear"/>
              </w:rPr>
            </w:pPr>
            <w:r w:rsidDel="00000000" w:rsidR="00000000" w:rsidRPr="00000000">
              <w:rPr>
                <w:shd w:fill="cfe2f3" w:val="clear"/>
                <w:rtl w:val="0"/>
              </w:rPr>
              <w:t xml:space="preserve">Levene’s statistic</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hd w:fill="cfe2f3" w:val="clear"/>
              </w:rPr>
            </w:pPr>
            <w:r w:rsidDel="00000000" w:rsidR="00000000" w:rsidRPr="00000000">
              <w:rPr>
                <w:shd w:fill="cfe2f3" w:val="clear"/>
                <w:rtl w:val="0"/>
              </w:rPr>
              <w:t xml:space="preserve">p-value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shd w:fill="cfe2f3" w:val="clear"/>
              </w:rPr>
            </w:pPr>
            <w:r w:rsidDel="00000000" w:rsidR="00000000" w:rsidRPr="00000000">
              <w:rPr>
                <w:shd w:fill="cfe2f3" w:val="clear"/>
                <w:rtl w:val="0"/>
              </w:rPr>
              <w:t xml:space="preserve">Statistically Different?</w:t>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shd w:fill="fce5cd" w:val="clear"/>
              </w:rPr>
            </w:pPr>
            <w:r w:rsidDel="00000000" w:rsidR="00000000" w:rsidRPr="00000000">
              <w:rPr>
                <w:shd w:fill="fce5cd" w:val="clear"/>
                <w:rtl w:val="0"/>
              </w:rPr>
              <w:t xml:space="preserve">Pre-LNY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0.000179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39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0.0159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0.8997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0.000194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2402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shd w:fill="fce5cd" w:val="clear"/>
              </w:rPr>
            </w:pPr>
            <w:r w:rsidDel="00000000" w:rsidR="00000000" w:rsidRPr="00000000">
              <w:rPr>
                <w:shd w:fill="fce5cd" w:val="clear"/>
                <w:rtl w:val="0"/>
              </w:rPr>
              <w:t xml:space="preserve">Post-LNY vs 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0.000359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3.4070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0.0650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shd w:fill="fce5cd"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0.000194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2402</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r>
          </w:p>
        </w:tc>
      </w:tr>
      <w:tr>
        <w:trPr>
          <w:cantSplit w:val="0"/>
          <w:trHeight w:val="440" w:hRule="atLeast"/>
          <w:tblHeader w:val="0"/>
        </w:trPr>
        <w:tc>
          <w:tcPr>
            <w:vMerge w:val="restart"/>
            <w:shd w:fill="fce5cd"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shd w:fill="fce5cd" w:val="clear"/>
              </w:rPr>
            </w:pPr>
            <w:r w:rsidDel="00000000" w:rsidR="00000000" w:rsidRPr="00000000">
              <w:rPr>
                <w:shd w:fill="fce5cd" w:val="clear"/>
                <w:rtl w:val="0"/>
              </w:rPr>
              <w:t xml:space="preserve">Pre-LNY vs 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0.000179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39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2.4970</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0.1199</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NO, Fail to reject H0</w:t>
            </w:r>
          </w:p>
        </w:tc>
      </w:tr>
      <w:tr>
        <w:trPr>
          <w:cantSplit w:val="0"/>
          <w:trHeight w:val="440" w:hRule="atLeast"/>
          <w:tblHeader w:val="0"/>
        </w:trPr>
        <w:tc>
          <w:tcPr>
            <w:vMerge w:val="continue"/>
            <w:shd w:fill="fce5cd"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shd w:fill="fce5cd"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0.000359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17</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r>
          </w:p>
        </w:tc>
      </w:tr>
    </w:tbl>
    <w:p w:rsidR="00000000" w:rsidDel="00000000" w:rsidP="00000000" w:rsidRDefault="00000000" w:rsidRPr="00000000" w14:paraId="0000014E">
      <w:pPr>
        <w:jc w:val="center"/>
        <w:rPr/>
      </w:pPr>
      <w:r w:rsidDel="00000000" w:rsidR="00000000" w:rsidRPr="00000000">
        <w:rPr>
          <w:rtl w:val="0"/>
        </w:rPr>
        <w:t xml:space="preserve">Table 5.2</w:t>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From the above results of the analysis of market volatility conducted using Levene’s test, the tests found no statistically significant difference in volatility between any pair of the three periods. This indicates that while there may be numerical differences in the variance for the three periods, these differences are not large enough to be considered statistically sound.</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3"/>
        <w:rPr/>
      </w:pPr>
      <w:bookmarkStart w:colFirst="0" w:colLast="0" w:name="_n8gydbc0dmbn" w:id="17"/>
      <w:bookmarkEnd w:id="17"/>
      <w:r w:rsidDel="00000000" w:rsidR="00000000" w:rsidRPr="00000000">
        <w:rPr>
          <w:rtl w:val="0"/>
        </w:rPr>
        <w:t xml:space="preserve">5.3 Normality Test</w:t>
      </w:r>
    </w:p>
    <w:p w:rsidR="00000000" w:rsidDel="00000000" w:rsidP="00000000" w:rsidRDefault="00000000" w:rsidRPr="00000000" w14:paraId="00000153">
      <w:pPr>
        <w:rPr/>
      </w:pPr>
      <w:r w:rsidDel="00000000" w:rsidR="00000000" w:rsidRPr="00000000">
        <w:rPr>
          <w:rtl w:val="0"/>
        </w:rPr>
        <w:t xml:space="preserve">To assess the normality of the three periods, we conducted a normality test using Jarque-Bera’s test, and found the results in Table 5.3 below.</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Period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Jarque-Bera Value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p-value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hd w:fill="cfe2f3" w:val="clear"/>
              </w:rPr>
            </w:pPr>
            <w:r w:rsidDel="00000000" w:rsidR="00000000" w:rsidRPr="00000000">
              <w:rPr>
                <w:shd w:fill="cfe2f3" w:val="clear"/>
                <w:rtl w:val="0"/>
              </w:rPr>
              <w:t xml:space="preserve">Conclusion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4256.17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&lt;0.0001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 Normal</w:t>
            </w:r>
          </w:p>
        </w:tc>
      </w:tr>
    </w:tbl>
    <w:p w:rsidR="00000000" w:rsidDel="00000000" w:rsidP="00000000" w:rsidRDefault="00000000" w:rsidRPr="00000000" w14:paraId="00000167">
      <w:pPr>
        <w:jc w:val="center"/>
        <w:rPr/>
      </w:pPr>
      <w:r w:rsidDel="00000000" w:rsidR="00000000" w:rsidRPr="00000000">
        <w:rPr>
          <w:rtl w:val="0"/>
        </w:rPr>
        <w:t xml:space="preserve">Table 5.3</w:t>
      </w:r>
    </w:p>
    <w:p w:rsidR="00000000" w:rsidDel="00000000" w:rsidP="00000000" w:rsidRDefault="00000000" w:rsidRPr="00000000" w14:paraId="00000168">
      <w:pPr>
        <w:jc w:val="center"/>
        <w:rPr/>
      </w:pPr>
      <w:r w:rsidDel="00000000" w:rsidR="00000000" w:rsidRPr="00000000">
        <w:rPr>
          <w:rtl w:val="0"/>
        </w:rPr>
      </w:r>
    </w:p>
    <w:p w:rsidR="00000000" w:rsidDel="00000000" w:rsidP="00000000" w:rsidRDefault="00000000" w:rsidRPr="00000000" w14:paraId="00000169">
      <w:pPr>
        <w:jc w:val="left"/>
        <w:rPr/>
      </w:pPr>
      <w:r w:rsidDel="00000000" w:rsidR="00000000" w:rsidRPr="00000000">
        <w:rPr>
          <w:rtl w:val="0"/>
        </w:rPr>
        <w:t xml:space="preserve">The Pre-LNY and Post-LNY periods, with small sample sizes, tend to normality since the Jarque-Bera value is very close to zero. In comparison, the baseline period exhibits non-normality as the Jarque-Bera value deviates substantially from zero.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3"/>
        <w:rPr/>
      </w:pPr>
      <w:bookmarkStart w:colFirst="0" w:colLast="0" w:name="_fceajhhoz2qo" w:id="18"/>
      <w:bookmarkEnd w:id="18"/>
      <w:r w:rsidDel="00000000" w:rsidR="00000000" w:rsidRPr="00000000">
        <w:rPr>
          <w:rtl w:val="0"/>
        </w:rPr>
        <w:t xml:space="preserve">5.4 Skewness &amp; Kurtosis</w:t>
      </w:r>
    </w:p>
    <w:p w:rsidR="00000000" w:rsidDel="00000000" w:rsidP="00000000" w:rsidRDefault="00000000" w:rsidRPr="00000000" w14:paraId="0000016C">
      <w:pPr>
        <w:rPr/>
      </w:pPr>
      <w:r w:rsidDel="00000000" w:rsidR="00000000" w:rsidRPr="00000000">
        <w:rPr>
          <w:rtl w:val="0"/>
        </w:rPr>
        <w:t xml:space="preserve">Table 5.4.1 below shows the results of comparing skewness of the distributions between the three periods.</w:t>
      </w:r>
    </w:p>
    <w:p w:rsidR="00000000" w:rsidDel="00000000" w:rsidP="00000000" w:rsidRDefault="00000000" w:rsidRPr="00000000" w14:paraId="0000016D">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95"/>
        <w:gridCol w:w="5205"/>
        <w:tblGridChange w:id="0">
          <w:tblGrid>
            <w:gridCol w:w="1860"/>
            <w:gridCol w:w="2295"/>
            <w:gridCol w:w="520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hd w:fill="cfe2f3" w:val="clear"/>
              </w:rPr>
            </w:pPr>
            <w:r w:rsidDel="00000000" w:rsidR="00000000" w:rsidRPr="00000000">
              <w:rPr>
                <w:shd w:fill="cfe2f3" w:val="clear"/>
                <w:rtl w:val="0"/>
              </w:rPr>
              <w:t xml:space="preserve">Period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shd w:fill="cfe2f3" w:val="clear"/>
              </w:rPr>
            </w:pPr>
            <w:r w:rsidDel="00000000" w:rsidR="00000000" w:rsidRPr="00000000">
              <w:rPr>
                <w:shd w:fill="cfe2f3" w:val="clear"/>
                <w:rtl w:val="0"/>
              </w:rPr>
              <w:t xml:space="preserve">Skewness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hd w:fill="cfe2f3" w:val="clear"/>
              </w:rPr>
            </w:pPr>
            <w:r w:rsidDel="00000000" w:rsidR="00000000" w:rsidRPr="00000000">
              <w:rPr>
                <w:shd w:fill="cfe2f3" w:val="clea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+0.0977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Mild positive skew (to the right), more sensitive to extreme upside gains than downside losses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-0.3898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Moderate negative skew (to the left), more sensitive to extreme downside losses than gains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-0.1921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Moderate negative skew</w:t>
            </w:r>
          </w:p>
        </w:tc>
      </w:tr>
    </w:tbl>
    <w:p w:rsidR="00000000" w:rsidDel="00000000" w:rsidP="00000000" w:rsidRDefault="00000000" w:rsidRPr="00000000" w14:paraId="0000017A">
      <w:pPr>
        <w:jc w:val="center"/>
        <w:rPr/>
      </w:pPr>
      <w:r w:rsidDel="00000000" w:rsidR="00000000" w:rsidRPr="00000000">
        <w:rPr>
          <w:rtl w:val="0"/>
        </w:rPr>
        <w:t xml:space="preserve">Table 5.4.1</w:t>
      </w:r>
    </w:p>
    <w:p w:rsidR="00000000" w:rsidDel="00000000" w:rsidP="00000000" w:rsidRDefault="00000000" w:rsidRPr="00000000" w14:paraId="0000017B">
      <w:pPr>
        <w:jc w:val="center"/>
        <w:rPr/>
      </w:pPr>
      <w:r w:rsidDel="00000000" w:rsidR="00000000" w:rsidRPr="00000000">
        <w:rPr>
          <w:rtl w:val="0"/>
        </w:rPr>
      </w:r>
    </w:p>
    <w:p w:rsidR="00000000" w:rsidDel="00000000" w:rsidP="00000000" w:rsidRDefault="00000000" w:rsidRPr="00000000" w14:paraId="0000017C">
      <w:pPr>
        <w:jc w:val="left"/>
        <w:rPr/>
      </w:pPr>
      <w:r w:rsidDel="00000000" w:rsidR="00000000" w:rsidRPr="00000000">
        <w:rPr>
          <w:rtl w:val="0"/>
        </w:rPr>
        <w:t xml:space="preserve">From the skewness results above, we can see that Pre-LNY trading is characterized by a slight upside bias which could be consistent with the aforementioned ‘holiday mood’ optimism. Post-holiday trading shows a slight downside bias, possibly reflecting the mean reversion after the holiday break.</w:t>
      </w:r>
    </w:p>
    <w:p w:rsidR="00000000" w:rsidDel="00000000" w:rsidP="00000000" w:rsidRDefault="00000000" w:rsidRPr="00000000" w14:paraId="0000017D">
      <w:pPr>
        <w:jc w:val="left"/>
        <w:rPr/>
      </w:pPr>
      <w:r w:rsidDel="00000000" w:rsidR="00000000" w:rsidRPr="00000000">
        <w:rPr>
          <w:rtl w:val="0"/>
        </w:rPr>
      </w:r>
    </w:p>
    <w:p w:rsidR="00000000" w:rsidDel="00000000" w:rsidP="00000000" w:rsidRDefault="00000000" w:rsidRPr="00000000" w14:paraId="0000017E">
      <w:pPr>
        <w:jc w:val="left"/>
        <w:rPr/>
      </w:pPr>
      <w:r w:rsidDel="00000000" w:rsidR="00000000" w:rsidRPr="00000000">
        <w:rPr>
          <w:rtl w:val="0"/>
        </w:rPr>
        <w:t xml:space="preserve">Table 5.4.2 below shows the results of comparing kurtosis of the distributions between the three periods.</w:t>
      </w:r>
    </w:p>
    <w:p w:rsidR="00000000" w:rsidDel="00000000" w:rsidP="00000000" w:rsidRDefault="00000000" w:rsidRPr="00000000" w14:paraId="0000017F">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2295"/>
        <w:gridCol w:w="5205"/>
        <w:tblGridChange w:id="0">
          <w:tblGrid>
            <w:gridCol w:w="1860"/>
            <w:gridCol w:w="2295"/>
            <w:gridCol w:w="5205"/>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shd w:fill="cfe2f3" w:val="clear"/>
              </w:rPr>
            </w:pPr>
            <w:r w:rsidDel="00000000" w:rsidR="00000000" w:rsidRPr="00000000">
              <w:rPr>
                <w:shd w:fill="cfe2f3" w:val="clear"/>
                <w:rtl w:val="0"/>
              </w:rPr>
              <w:t xml:space="preserve">Period</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hd w:fill="cfe2f3" w:val="clear"/>
              </w:rPr>
            </w:pPr>
            <w:r w:rsidDel="00000000" w:rsidR="00000000" w:rsidRPr="00000000">
              <w:rPr>
                <w:shd w:fill="cfe2f3" w:val="clear"/>
                <w:rtl w:val="0"/>
              </w:rPr>
              <w:t xml:space="preserve">Kurtosis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shd w:fill="cfe2f3" w:val="clear"/>
              </w:rPr>
            </w:pPr>
            <w:r w:rsidDel="00000000" w:rsidR="00000000" w:rsidRPr="00000000">
              <w:rPr>
                <w:shd w:fill="cfe2f3" w:val="clear"/>
                <w:rtl w:val="0"/>
              </w:rPr>
              <w:t xml:space="preserve">Interpretation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Pre-LNY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+0.9646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Higher probability of extremities, elevated jump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Post-LNY</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-0.1311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Lower probability of extremities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+6.5260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Extreme tail risk, typical of HSI returns</w:t>
            </w:r>
          </w:p>
        </w:tc>
      </w:tr>
    </w:tbl>
    <w:p w:rsidR="00000000" w:rsidDel="00000000" w:rsidP="00000000" w:rsidRDefault="00000000" w:rsidRPr="00000000" w14:paraId="0000018C">
      <w:pPr>
        <w:jc w:val="center"/>
        <w:rPr/>
      </w:pPr>
      <w:r w:rsidDel="00000000" w:rsidR="00000000" w:rsidRPr="00000000">
        <w:rPr>
          <w:rtl w:val="0"/>
        </w:rPr>
        <w:t xml:space="preserve">Table 5.4.2</w:t>
      </w:r>
    </w:p>
    <w:p w:rsidR="00000000" w:rsidDel="00000000" w:rsidP="00000000" w:rsidRDefault="00000000" w:rsidRPr="00000000" w14:paraId="0000018D">
      <w:pPr>
        <w:jc w:val="center"/>
        <w:rPr/>
      </w:pPr>
      <w:r w:rsidDel="00000000" w:rsidR="00000000" w:rsidRPr="00000000">
        <w:rPr>
          <w:rtl w:val="0"/>
        </w:rPr>
      </w:r>
    </w:p>
    <w:p w:rsidR="00000000" w:rsidDel="00000000" w:rsidP="00000000" w:rsidRDefault="00000000" w:rsidRPr="00000000" w14:paraId="0000018E">
      <w:pPr>
        <w:jc w:val="left"/>
        <w:rPr/>
      </w:pPr>
      <w:r w:rsidDel="00000000" w:rsidR="00000000" w:rsidRPr="00000000">
        <w:rPr>
          <w:rtl w:val="0"/>
        </w:rPr>
        <w:t xml:space="preserve">From the kurtosis results above, we can see that for Pre-LNY, the moderate positive kurtosis indicates that single-day price movements are more extreme than a normal distribution, having elevated tail risk. For Post-LNY , the negative kurtosis suggests that extreme price movements become less frequent after the LNY break.</w:t>
      </w:r>
    </w:p>
    <w:p w:rsidR="00000000" w:rsidDel="00000000" w:rsidP="00000000" w:rsidRDefault="00000000" w:rsidRPr="00000000" w14:paraId="0000018F">
      <w:pPr>
        <w:jc w:val="left"/>
        <w:rPr/>
      </w:pPr>
      <w:r w:rsidDel="00000000" w:rsidR="00000000" w:rsidRPr="00000000">
        <w:rPr/>
        <w:drawing>
          <wp:inline distB="114300" distT="114300" distL="114300" distR="114300">
            <wp:extent cx="5943600" cy="2781300"/>
            <wp:effectExtent b="0" l="0" r="0" t="0"/>
            <wp:docPr descr="Visual Distribution of Periods" id="2" name="image1.png"/>
            <a:graphic>
              <a:graphicData uri="http://schemas.openxmlformats.org/drawingml/2006/picture">
                <pic:pic>
                  <pic:nvPicPr>
                    <pic:cNvPr descr="Visual Distribution of Periods" id="0" name="image1.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jc w:val="center"/>
        <w:rPr/>
      </w:pPr>
      <w:r w:rsidDel="00000000" w:rsidR="00000000" w:rsidRPr="00000000">
        <w:rPr>
          <w:rtl w:val="0"/>
        </w:rPr>
        <w:t xml:space="preserve">Fig. 5.4.3 Distribution of Three Periods</w:t>
      </w:r>
    </w:p>
    <w:p w:rsidR="00000000" w:rsidDel="00000000" w:rsidP="00000000" w:rsidRDefault="00000000" w:rsidRPr="00000000" w14:paraId="00000191">
      <w:pPr>
        <w:jc w:val="left"/>
        <w:rPr/>
      </w:pPr>
      <w:r w:rsidDel="00000000" w:rsidR="00000000" w:rsidRPr="00000000">
        <w:rPr>
          <w:rtl w:val="0"/>
        </w:rPr>
      </w:r>
    </w:p>
    <w:p w:rsidR="00000000" w:rsidDel="00000000" w:rsidP="00000000" w:rsidRDefault="00000000" w:rsidRPr="00000000" w14:paraId="00000192">
      <w:pPr>
        <w:pStyle w:val="Heading3"/>
        <w:rPr/>
      </w:pPr>
      <w:bookmarkStart w:colFirst="0" w:colLast="0" w:name="_y5xhcyhppf11" w:id="19"/>
      <w:bookmarkEnd w:id="19"/>
      <w:r w:rsidDel="00000000" w:rsidR="00000000" w:rsidRPr="00000000">
        <w:rPr>
          <w:rtl w:val="0"/>
        </w:rPr>
        <w:t xml:space="preserve">5.5 Regression Analysis</w:t>
      </w:r>
    </w:p>
    <w:p w:rsidR="00000000" w:rsidDel="00000000" w:rsidP="00000000" w:rsidRDefault="00000000" w:rsidRPr="00000000" w14:paraId="00000193">
      <w:pPr>
        <w:rPr/>
      </w:pPr>
      <w:r w:rsidDel="00000000" w:rsidR="00000000" w:rsidRPr="00000000">
        <w:rPr>
          <w:rtl w:val="0"/>
        </w:rPr>
        <w:t xml:space="preserve">As part of the final effect analysis, we conducted a simple regression to validate the statistical significance of each period on the mean simple returns.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rtl w:val="0"/>
        </w:rPr>
        <w:t xml:space="preserve">Fitted Regression Eqn</w:t>
      </w:r>
      <w:r w:rsidDel="00000000" w:rsidR="00000000" w:rsidRPr="00000000">
        <w:rPr>
          <w:rtl w:val="0"/>
        </w:rPr>
        <w:t xml:space="preserve">: Daily Return = 0.000126 + 0.002581 * (is_pre_lny) + 0.000143 * (is_post_lny)</w:t>
      </w:r>
    </w:p>
    <w:p w:rsidR="00000000" w:rsidDel="00000000" w:rsidP="00000000" w:rsidRDefault="00000000" w:rsidRPr="00000000" w14:paraId="00000196">
      <w:pPr>
        <w:rPr/>
      </w:pPr>
      <w:r w:rsidDel="00000000" w:rsidR="00000000" w:rsidRPr="00000000">
        <w:rPr>
          <w:rtl w:val="0"/>
        </w:rPr>
        <w:t xml:space="preserve">Where ‘is_pre_lny’ and ‘is_post_lny’ take on values 0 or 1</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 &gt; |t| values for ‘is_pre_lny’ and ‘is_post_lny’ are greater than 0.05, therefore we conclude that the coefficients are not statistically significant, and the observed effect could be due to random chance. In conclusion, the tests fail to conclude that the ‘LNY effect’ is observed in the Hong Kong Stock Market.</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943600" cy="36068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9B">
      <w:pPr>
        <w:pStyle w:val="Heading3"/>
        <w:rPr/>
      </w:pPr>
      <w:bookmarkStart w:colFirst="0" w:colLast="0" w:name="_r78esoydjvon" w:id="20"/>
      <w:bookmarkEnd w:id="20"/>
      <w:r w:rsidDel="00000000" w:rsidR="00000000" w:rsidRPr="00000000">
        <w:rPr>
          <w:rtl w:val="0"/>
        </w:rPr>
        <w:t xml:space="preserve">5.6 Limitations on Hypothesis Testing</w:t>
      </w:r>
    </w:p>
    <w:p w:rsidR="00000000" w:rsidDel="00000000" w:rsidP="00000000" w:rsidRDefault="00000000" w:rsidRPr="00000000" w14:paraId="0000019C">
      <w:pPr>
        <w:ind w:left="0" w:firstLine="0"/>
        <w:rPr>
          <w:rFonts w:ascii="Roboto" w:cs="Roboto" w:eastAsia="Roboto" w:hAnsi="Roboto"/>
          <w:b w:val="1"/>
          <w:bCs w:val="1"/>
        </w:rPr>
      </w:pPr>
      <w:r w:rsidDel="00000000" w:rsidR="00000000" w:rsidRPr="00000000">
        <w:rPr>
          <w:rFonts w:ascii="Roboto" w:cs="Roboto" w:eastAsia="Roboto" w:hAnsi="Roboto"/>
          <w:b w:val="1"/>
          <w:bCs w:val="1"/>
          <w:rtl w:val="0"/>
        </w:rPr>
        <w:t xml:space="preserve">Extreme imbalance in group sizes and low power</w:t>
      </w:r>
    </w:p>
    <w:p w:rsidR="00000000" w:rsidDel="00000000" w:rsidP="00000000" w:rsidRDefault="00000000" w:rsidRPr="00000000" w14:paraId="0000019D">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pre- and post-LNY samples (n = 39 and n = 17, respectively) are tiny compared to the baseline period (n = 2,402), rendering standard t-tests and Levene’s tests heavily dominated by baseline observations. Consequently, these tests have extremely low power to detect even economically large differences in means or volatility during the Lunar New Year window, creating a high risk of Type II errors.</w:t>
      </w:r>
    </w:p>
    <w:p w:rsidR="00000000" w:rsidDel="00000000" w:rsidP="00000000" w:rsidRDefault="00000000" w:rsidRPr="00000000" w14:paraId="0000019E">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Numerical differences without statistical confirmation</w:t>
      </w:r>
    </w:p>
    <w:p w:rsidR="00000000" w:rsidDel="00000000" w:rsidP="00000000" w:rsidRDefault="00000000" w:rsidRPr="00000000" w14:paraId="0000019F">
      <w:pPr>
        <w:spacing w:after="240" w:before="240" w:lineRule="auto"/>
        <w:rPr>
          <w:rFonts w:ascii="Roboto" w:cs="Roboto" w:eastAsia="Roboto" w:hAnsi="Roboto"/>
        </w:rPr>
      </w:pPr>
      <w:r w:rsidDel="00000000" w:rsidR="00000000" w:rsidRPr="00000000">
        <w:rPr>
          <w:rFonts w:ascii="Roboto" w:cs="Roboto" w:eastAsia="Roboto" w:hAnsi="Roboto"/>
          <w:rtl w:val="0"/>
        </w:rPr>
        <w:t xml:space="preserve">Descriptive statistics show higher average returns in the pre-LNY window, lower returns accompanied by higher volatility in the post-LNY window, and greater downside risk over the combined LNY period relative to the baseline. These patterns are consistent with a Lunar New Year holiday effect. However, the pre- and post-LNY samples are very small (n = 39 and n = 17, respectively) compared with the baseline period (n = 2,402), resulting in extremely low statistical power for standard t-tests and Levene’s tests. All mean and variance comparisons fail to reject the null hypothesis at conventional significance levels. Consequently, the absence of statistical significance should not be interpreted as evidence of no effect. Conclusions must therefore remain cautious, with primary emphasis placed on the economic magnitude of the observed patterns rather than on formal statistical inference.</w:t>
      </w:r>
    </w:p>
    <w:p w:rsidR="00000000" w:rsidDel="00000000" w:rsidP="00000000" w:rsidRDefault="00000000" w:rsidRPr="00000000" w14:paraId="000001A0">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Assumption Issues from Distributional Differences</w:t>
      </w:r>
    </w:p>
    <w:p w:rsidR="00000000" w:rsidDel="00000000" w:rsidP="00000000" w:rsidRDefault="00000000" w:rsidRPr="00000000" w14:paraId="000001A1">
      <w:pPr>
        <w:spacing w:after="240" w:before="240" w:lineRule="auto"/>
        <w:rPr>
          <w:rFonts w:ascii="Roboto" w:cs="Roboto" w:eastAsia="Roboto" w:hAnsi="Roboto"/>
        </w:rPr>
      </w:pPr>
      <w:r w:rsidDel="00000000" w:rsidR="00000000" w:rsidRPr="00000000">
        <w:rPr>
          <w:rFonts w:ascii="Roboto" w:cs="Roboto" w:eastAsia="Roboto" w:hAnsi="Roboto"/>
          <w:rtl w:val="0"/>
        </w:rPr>
        <w:t xml:space="preserve">Jarque–Bera tests show that pre- and post-LNY returns do not deviate significantly from normality, whereas the baseline sample is strongly non-normal, reflecting the typical leptokurtic nature of HSI returns. Because standard parametric tests compare these periods directly, the pronounced non-normality in the dominant baseline group—despite the general robustness of t-tests and Levene’s test—further undermines test reliability and power, adding another layer of difficulty to statistical inference about Lunar New Year effects.</w:t>
      </w:r>
    </w:p>
    <w:p w:rsidR="00000000" w:rsidDel="00000000" w:rsidP="00000000" w:rsidRDefault="00000000" w:rsidRPr="00000000" w14:paraId="000001A2">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Simplified treatment of time dependence and structure</w:t>
      </w:r>
    </w:p>
    <w:p w:rsidR="00000000" w:rsidDel="00000000" w:rsidP="00000000" w:rsidRDefault="00000000" w:rsidRPr="00000000" w14:paraId="000001A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mean tests, variance tests, and dummy-variable regression all assume independence of returns within periods and therefore ignore autocorrelation, volatility clustering, and structural breaks. Consequently, any Lunar New Year effect that operates through these time-series features—rather than simple shifts in unconditional mean or variance—will not be captured, potentially understating the true holiday effect.</w:t>
      </w:r>
    </w:p>
    <w:p w:rsidR="00000000" w:rsidDel="00000000" w:rsidP="00000000" w:rsidRDefault="00000000" w:rsidRPr="00000000" w14:paraId="000001A4">
      <w:pPr>
        <w:pStyle w:val="Heading3"/>
        <w:rPr/>
      </w:pPr>
      <w:bookmarkStart w:colFirst="0" w:colLast="0" w:name="_5q0s176sztju" w:id="21"/>
      <w:bookmarkEnd w:id="21"/>
      <w:r w:rsidDel="00000000" w:rsidR="00000000" w:rsidRPr="00000000">
        <w:rPr>
          <w:rtl w:val="0"/>
        </w:rPr>
        <w:t xml:space="preserve">6 Comparison with Literature Review</w:t>
      </w:r>
    </w:p>
    <w:p w:rsidR="00000000" w:rsidDel="00000000" w:rsidP="00000000" w:rsidRDefault="00000000" w:rsidRPr="00000000" w14:paraId="000001A5">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Consistent qualitative patterns, weaker statistical evidence</w:t>
      </w:r>
    </w:p>
    <w:p w:rsidR="00000000" w:rsidDel="00000000" w:rsidP="00000000" w:rsidRDefault="00000000" w:rsidRPr="00000000" w14:paraId="000001A6">
      <w:pPr>
        <w:spacing w:after="240" w:before="240" w:lineRule="auto"/>
        <w:rPr>
          <w:rFonts w:ascii="Roboto" w:cs="Roboto" w:eastAsia="Roboto" w:hAnsi="Roboto"/>
        </w:rPr>
      </w:pPr>
      <w:r w:rsidDel="00000000" w:rsidR="00000000" w:rsidRPr="00000000">
        <w:rPr>
          <w:rFonts w:ascii="Roboto" w:cs="Roboto" w:eastAsia="Roboto" w:hAnsi="Roboto"/>
          <w:rtl w:val="0"/>
        </w:rPr>
        <w:t xml:space="preserve">Earlier Hong Kong studies (Wong et al., 1992; Chia et al., 2015) report significant pre-LNY positive returns and occasionally a post-holiday reversal. The current descriptive evidence—higher pre-LNY returns and better risk-adjusted performance, followed by lower returns and deteriorated risk metrics post-LNY—remains qualitatively consistent with these findings and with the pre-holiday optimism/post-holiday adjustment hypothesis. Because of the very small LNY subsamples, however, tests of mean and variance differences do not reach statistical significance.</w:t>
      </w:r>
    </w:p>
    <w:p w:rsidR="00000000" w:rsidDel="00000000" w:rsidP="00000000" w:rsidRDefault="00000000" w:rsidRPr="00000000" w14:paraId="000001A7">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Different data period and market environment</w:t>
      </w:r>
    </w:p>
    <w:p w:rsidR="00000000" w:rsidDel="00000000" w:rsidP="00000000" w:rsidRDefault="00000000" w:rsidRPr="00000000" w14:paraId="000001A8">
      <w:pPr>
        <w:spacing w:after="240" w:before="240" w:lineRule="auto"/>
        <w:rPr>
          <w:rFonts w:ascii="Roboto" w:cs="Roboto" w:eastAsia="Roboto" w:hAnsi="Roboto"/>
        </w:rPr>
      </w:pPr>
      <w:r w:rsidDel="00000000" w:rsidR="00000000" w:rsidRPr="00000000">
        <w:rPr>
          <w:rFonts w:ascii="Roboto" w:cs="Roboto" w:eastAsia="Roboto" w:hAnsi="Roboto"/>
          <w:rtl w:val="0"/>
        </w:rPr>
        <w:t xml:space="preserve">Earlier Lunar New Year studies are based primarily on pre-2015 data and therefore pre-date the Stock Connect initiatives, the surge in mainland Chinese investor participation, and the post-COVID transformation of trading technology and market microstructure. The current 2015–2025 sample consequently reflects a materially different Hong Kong equity market, which may naturally weaken or alter previously documented calendar effects.</w:t>
      </w:r>
    </w:p>
    <w:p w:rsidR="00000000" w:rsidDel="00000000" w:rsidP="00000000" w:rsidRDefault="00000000" w:rsidRPr="00000000" w14:paraId="000001A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Methodological gap versus GARCH‑based work</w:t>
      </w:r>
    </w:p>
    <w:p w:rsidR="00000000" w:rsidDel="00000000" w:rsidP="00000000" w:rsidRDefault="00000000" w:rsidRPr="00000000" w14:paraId="000001AA">
      <w:pPr>
        <w:spacing w:after="240" w:before="240" w:lineRule="auto"/>
        <w:rPr>
          <w:rFonts w:ascii="Roboto" w:cs="Roboto" w:eastAsia="Roboto" w:hAnsi="Roboto"/>
        </w:rPr>
      </w:pPr>
      <w:r w:rsidDel="00000000" w:rsidR="00000000" w:rsidRPr="00000000">
        <w:rPr>
          <w:rFonts w:ascii="Roboto" w:cs="Roboto" w:eastAsia="Roboto" w:hAnsi="Roboto"/>
          <w:rtl w:val="0"/>
        </w:rPr>
        <w:t xml:space="preserve">Key prior Lunar New Year studies employ GARCH-M, TGARCH-M, or EGARCH-M models that permit holiday effects to operate through conditional volatility and asymmetry. The current analysis, limited to unconditional tests (t-tests, Levene’s test) and a simple dummy regression, cannot detect such dynamic effects and therefore provides only a partial examination of potential calendar anomalies.</w:t>
      </w:r>
    </w:p>
    <w:p w:rsidR="00000000" w:rsidDel="00000000" w:rsidP="00000000" w:rsidRDefault="00000000" w:rsidRPr="00000000" w14:paraId="000001AB">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Interpretation: “absence of evidence” vs “evidence of absence”</w:t>
      </w:r>
    </w:p>
    <w:p w:rsidR="00000000" w:rsidDel="00000000" w:rsidP="00000000" w:rsidRDefault="00000000" w:rsidRPr="00000000" w14:paraId="000001A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earlier literature finds a clear Lunar New Year effect in Hong Kong, especially in the days just before the holiday. This study, covering 2015–2025, does not find statistically significant differences in average returns or volatility. Because the holiday samples are very small and only simple tests were used, the results neither confirm that the effect still exists in recent years nor prove that it has disappeared.</w:t>
      </w:r>
    </w:p>
    <w:p w:rsidR="00000000" w:rsidDel="00000000" w:rsidP="00000000" w:rsidRDefault="00000000" w:rsidRPr="00000000" w14:paraId="000001AD">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AE">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AF">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0">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1">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1B2">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3">
      <w:pPr>
        <w:spacing w:after="240" w:before="240" w:lineRule="auto"/>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4">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5">
      <w:pPr>
        <w:ind w:left="0" w:firstLine="0"/>
        <w:rPr>
          <w:rFonts w:ascii="Roboto" w:cs="Roboto" w:eastAsia="Roboto" w:hAnsi="Roboto"/>
          <w:b w:val="1"/>
          <w:bCs w:val="1"/>
        </w:rPr>
      </w:pPr>
      <w:r w:rsidDel="00000000" w:rsidR="00000000" w:rsidRPr="00000000">
        <w:rPr>
          <w:rtl w:val="0"/>
        </w:rPr>
      </w:r>
    </w:p>
    <w:p w:rsidR="00000000" w:rsidDel="00000000" w:rsidP="00000000" w:rsidRDefault="00000000" w:rsidRPr="00000000" w14:paraId="000001B6">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B7">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B8">
      <w:pPr>
        <w:spacing w:after="240" w:before="240" w:lineRule="auto"/>
        <w:jc w:val="left"/>
        <w:rPr>
          <w:b w:val="1"/>
          <w:bCs w:val="1"/>
        </w:rPr>
      </w:pPr>
      <w:r w:rsidDel="00000000" w:rsidR="00000000" w:rsidRPr="00000000">
        <w:rPr>
          <w:rtl w:val="0"/>
        </w:rPr>
      </w:r>
    </w:p>
    <w:p w:rsidR="00000000" w:rsidDel="00000000" w:rsidP="00000000" w:rsidRDefault="00000000" w:rsidRPr="00000000" w14:paraId="000001B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1B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BB">
      <w:pPr>
        <w:spacing w:after="240" w:before="240" w:lineRule="auto"/>
        <w:ind w:left="360"/>
        <w:rPr/>
      </w:pPr>
      <w:r w:rsidDel="00000000" w:rsidR="00000000" w:rsidRPr="00000000">
        <w:rPr>
          <w:rtl w:val="0"/>
        </w:rPr>
        <w:t xml:space="preserve">Ariel, R. A. (1990). High stock returns before holidays: Existence and evidence on possible causes. Journal of Finance, 45(5), 1611–1626. </w:t>
      </w:r>
      <w:hyperlink r:id="rId11">
        <w:r w:rsidDel="00000000" w:rsidR="00000000" w:rsidRPr="00000000">
          <w:rPr>
            <w:color w:val="1155cc"/>
            <w:u w:val="single"/>
            <w:rtl w:val="0"/>
          </w:rPr>
          <w:t xml:space="preserve">https://doi.org/10.1111/j.1540-6261.1990.tb03731.x</w:t>
        </w:r>
      </w:hyperlink>
      <w:r w:rsidDel="00000000" w:rsidR="00000000" w:rsidRPr="00000000">
        <w:rPr>
          <w:rtl w:val="0"/>
        </w:rPr>
        <w:t xml:space="preserve"> </w:t>
      </w:r>
    </w:p>
    <w:p w:rsidR="00000000" w:rsidDel="00000000" w:rsidP="00000000" w:rsidRDefault="00000000" w:rsidRPr="00000000" w14:paraId="000001BC">
      <w:pPr>
        <w:spacing w:after="240" w:before="240" w:lineRule="auto"/>
        <w:ind w:left="360"/>
        <w:rPr/>
      </w:pPr>
      <w:r w:rsidDel="00000000" w:rsidR="00000000" w:rsidRPr="00000000">
        <w:rPr>
          <w:rtl w:val="0"/>
        </w:rPr>
        <w:t xml:space="preserve">Aintablian, Sebouh, June 2006, “</w:t>
      </w:r>
      <w:r w:rsidDel="00000000" w:rsidR="00000000" w:rsidRPr="00000000">
        <w:rPr>
          <w:i w:val="1"/>
          <w:iCs w:val="1"/>
          <w:rtl w:val="0"/>
        </w:rPr>
        <w:t xml:space="preserve">The Impact of Holidays on Stock Market Performance: Evidence from the Jordanian and Egyptian Stock Markets</w:t>
      </w:r>
      <w:r w:rsidDel="00000000" w:rsidR="00000000" w:rsidRPr="00000000">
        <w:rPr>
          <w:rtl w:val="0"/>
        </w:rPr>
        <w:t xml:space="preserve">”, Journal of Development and Economic Policies.</w:t>
      </w:r>
    </w:p>
    <w:p w:rsidR="00000000" w:rsidDel="00000000" w:rsidP="00000000" w:rsidRDefault="00000000" w:rsidRPr="00000000" w14:paraId="000001BD">
      <w:pPr>
        <w:spacing w:after="240" w:before="240" w:lineRule="auto"/>
        <w:ind w:left="360"/>
        <w:rPr/>
      </w:pPr>
      <w:r w:rsidDel="00000000" w:rsidR="00000000" w:rsidRPr="00000000">
        <w:rPr>
          <w:rtl w:val="0"/>
        </w:rPr>
        <w:t xml:space="preserve">Chia, R. C. J., Lim, G. H., Ong, T. S., &amp; Teh, B. H. (2015). Pre and post Chinese New Year holiday effects: Evidence from the Hong Kong stock market. Asia-Pacific Financial Markets, 22(4),445–465.</w:t>
      </w:r>
      <w:hyperlink r:id="rId12">
        <w:r w:rsidDel="00000000" w:rsidR="00000000" w:rsidRPr="00000000">
          <w:rPr>
            <w:color w:val="1155cc"/>
            <w:u w:val="single"/>
            <w:rtl w:val="0"/>
          </w:rPr>
          <w:t xml:space="preserve">https://www.researchgate.net/publication/281476622_Pre_and_post_Chinese_new_year_holiday_effects_Evidence_from_Hong_Kong_stock_market</w:t>
        </w:r>
      </w:hyperlink>
      <w:r w:rsidDel="00000000" w:rsidR="00000000" w:rsidRPr="00000000">
        <w:rPr>
          <w:rtl w:val="0"/>
        </w:rPr>
        <w:t xml:space="preserve">.</w:t>
      </w:r>
    </w:p>
    <w:p w:rsidR="00000000" w:rsidDel="00000000" w:rsidP="00000000" w:rsidRDefault="00000000" w:rsidRPr="00000000" w14:paraId="000001BE">
      <w:pPr>
        <w:spacing w:after="240" w:before="240" w:lineRule="auto"/>
        <w:ind w:left="360"/>
        <w:rPr/>
      </w:pPr>
      <w:r w:rsidDel="00000000" w:rsidR="00000000" w:rsidRPr="00000000">
        <w:rPr>
          <w:rtl w:val="0"/>
        </w:rPr>
        <w:t xml:space="preserve">Futubull, Nov 19</w:t>
      </w:r>
      <w:r w:rsidDel="00000000" w:rsidR="00000000" w:rsidRPr="00000000">
        <w:rPr>
          <w:vertAlign w:val="superscript"/>
          <w:rtl w:val="0"/>
        </w:rPr>
        <w:t xml:space="preserve">th</w:t>
      </w:r>
      <w:r w:rsidDel="00000000" w:rsidR="00000000" w:rsidRPr="00000000">
        <w:rPr>
          <w:rtl w:val="0"/>
        </w:rPr>
        <w:t xml:space="preserve"> 2025, “</w:t>
      </w:r>
      <w:r w:rsidDel="00000000" w:rsidR="00000000" w:rsidRPr="00000000">
        <w:rPr>
          <w:i w:val="1"/>
          <w:iCs w:val="1"/>
          <w:rtl w:val="0"/>
        </w:rPr>
        <w:t xml:space="preserve">It is said that the probability of a rise in Hong Kong stocks during the National Day holiday is nearly 90%. At this point, should one buy or sell…”,</w:t>
      </w:r>
      <w:hyperlink r:id="rId13">
        <w:r w:rsidDel="00000000" w:rsidR="00000000" w:rsidRPr="00000000">
          <w:rPr>
            <w:i w:val="1"/>
            <w:iCs w:val="1"/>
            <w:rtl w:val="0"/>
          </w:rPr>
          <w:t xml:space="preserve"> </w:t>
        </w:r>
      </w:hyperlink>
      <w:hyperlink r:id="rId14">
        <w:r w:rsidDel="00000000" w:rsidR="00000000" w:rsidRPr="00000000">
          <w:rPr>
            <w:color w:val="1155cc"/>
            <w:u w:val="single"/>
            <w:rtl w:val="0"/>
          </w:rPr>
          <w:t xml:space="preserve">It is said that the probability of a rise in Hong Kong stocks during the National Day holiday is nearly 90%. At this point, should one buy or sell…</w:t>
        </w:r>
      </w:hyperlink>
      <w:r w:rsidDel="00000000" w:rsidR="00000000" w:rsidRPr="00000000">
        <w:rPr>
          <w:rtl w:val="0"/>
        </w:rPr>
      </w:r>
    </w:p>
    <w:p w:rsidR="00000000" w:rsidDel="00000000" w:rsidP="00000000" w:rsidRDefault="00000000" w:rsidRPr="00000000" w14:paraId="000001BF">
      <w:pPr>
        <w:spacing w:after="240" w:before="240" w:lineRule="auto"/>
        <w:ind w:left="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Intertrader, Oct 9</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2018, “</w:t>
      </w:r>
      <w:r w:rsidDel="00000000" w:rsidR="00000000" w:rsidRPr="00000000">
        <w:rPr>
          <w:rFonts w:ascii="Times New Roman" w:cs="Times New Roman" w:eastAsia="Times New Roman" w:hAnsi="Times New Roman"/>
          <w:i w:val="1"/>
          <w:iCs w:val="1"/>
          <w:sz w:val="24"/>
          <w:szCs w:val="24"/>
          <w:rtl w:val="0"/>
        </w:rPr>
        <w:t xml:space="preserve">How holidays impact the financial markets</w:t>
      </w:r>
      <w:r w:rsidDel="00000000" w:rsidR="00000000" w:rsidRPr="00000000">
        <w:rPr>
          <w:rFonts w:ascii="Times New Roman" w:cs="Times New Roman" w:eastAsia="Times New Roman" w:hAnsi="Times New Roman"/>
          <w:sz w:val="24"/>
          <w:szCs w:val="24"/>
          <w:rtl w:val="0"/>
        </w:rPr>
        <w:t xml:space="preserve">”,</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How holidays impact the financial markets | Intertrader</w:t>
        </w:r>
      </w:hyperlink>
      <w:r w:rsidDel="00000000" w:rsidR="00000000" w:rsidRPr="00000000">
        <w:rPr>
          <w:color w:val="1155cc"/>
          <w:u w:val="single"/>
          <w:rtl w:val="0"/>
        </w:rPr>
        <w:t xml:space="preserve">,</w:t>
      </w:r>
      <w:r w:rsidDel="00000000" w:rsidR="00000000" w:rsidRPr="00000000">
        <w:rPr>
          <w:rtl w:val="0"/>
        </w:rPr>
      </w:r>
    </w:p>
    <w:p w:rsidR="00000000" w:rsidDel="00000000" w:rsidP="00000000" w:rsidRDefault="00000000" w:rsidRPr="00000000" w14:paraId="000001C0">
      <w:pPr>
        <w:spacing w:after="240" w:before="240" w:lineRule="auto"/>
        <w:ind w:left="360"/>
        <w:rPr/>
      </w:pPr>
      <w:r w:rsidDel="00000000" w:rsidR="00000000" w:rsidRPr="00000000">
        <w:rPr>
          <w:rtl w:val="0"/>
        </w:rPr>
        <w:t xml:space="preserve">Kudryavtsev, Andrey, 2019, “</w:t>
      </w:r>
      <w:r w:rsidDel="00000000" w:rsidR="00000000" w:rsidRPr="00000000">
        <w:rPr>
          <w:i w:val="1"/>
          <w:iCs w:val="1"/>
          <w:rtl w:val="0"/>
        </w:rPr>
        <w:t xml:space="preserve">Holiday Effect on Large Stock Price Changes”,</w:t>
      </w:r>
      <w:r w:rsidDel="00000000" w:rsidR="00000000" w:rsidRPr="00000000">
        <w:rPr>
          <w:rtl w:val="0"/>
        </w:rPr>
        <w:t xml:space="preserve"> Annals Of Economics and Finance 20-2, 633-660.</w:t>
      </w:r>
    </w:p>
    <w:p w:rsidR="00000000" w:rsidDel="00000000" w:rsidP="00000000" w:rsidRDefault="00000000" w:rsidRPr="00000000" w14:paraId="000001C1">
      <w:pPr>
        <w:spacing w:after="240" w:before="240" w:lineRule="auto"/>
        <w:ind w:left="360"/>
        <w:rPr/>
      </w:pPr>
      <w:r w:rsidDel="00000000" w:rsidR="00000000" w:rsidRPr="00000000">
        <w:rPr>
          <w:rtl w:val="0"/>
        </w:rPr>
        <w:t xml:space="preserve">Lakonishok, J., &amp; Smidt, S. (1988). Are seasonal anomalies real? A ninety-year perspective. Review of Financial Studies, 1(4), 403–425. </w:t>
      </w:r>
      <w:hyperlink r:id="rId17">
        <w:r w:rsidDel="00000000" w:rsidR="00000000" w:rsidRPr="00000000">
          <w:rPr>
            <w:color w:val="1155cc"/>
            <w:u w:val="single"/>
            <w:rtl w:val="0"/>
          </w:rPr>
          <w:t xml:space="preserve">https://www.jstor.org/stable/2962097</w:t>
        </w:r>
      </w:hyperlink>
      <w:r w:rsidDel="00000000" w:rsidR="00000000" w:rsidRPr="00000000">
        <w:rPr>
          <w:rtl w:val="0"/>
        </w:rPr>
        <w:t xml:space="preserve">. </w:t>
      </w:r>
    </w:p>
    <w:p w:rsidR="00000000" w:rsidDel="00000000" w:rsidP="00000000" w:rsidRDefault="00000000" w:rsidRPr="00000000" w14:paraId="000001C2">
      <w:pPr>
        <w:spacing w:after="240" w:before="240" w:lineRule="auto"/>
        <w:ind w:left="360"/>
        <w:rPr/>
      </w:pPr>
      <w:r w:rsidDel="00000000" w:rsidR="00000000" w:rsidRPr="00000000">
        <w:rPr>
          <w:rtl w:val="0"/>
        </w:rPr>
        <w:t xml:space="preserve">Lonkani, Ravi, May 8</w:t>
      </w:r>
      <w:r w:rsidDel="00000000" w:rsidR="00000000" w:rsidRPr="00000000">
        <w:rPr>
          <w:vertAlign w:val="superscript"/>
          <w:rtl w:val="0"/>
        </w:rPr>
        <w:t xml:space="preserve">th</w:t>
      </w:r>
      <w:r w:rsidDel="00000000" w:rsidR="00000000" w:rsidRPr="00000000">
        <w:rPr>
          <w:rtl w:val="0"/>
        </w:rPr>
        <w:t xml:space="preserve"> 2025, “</w:t>
      </w:r>
      <w:r w:rsidDel="00000000" w:rsidR="00000000" w:rsidRPr="00000000">
        <w:rPr>
          <w:i w:val="1"/>
          <w:iCs w:val="1"/>
          <w:rtl w:val="0"/>
        </w:rPr>
        <w:t xml:space="preserve">The effect of investors’ emotional and depressive stated on perceived returns and risk</w:t>
      </w:r>
      <w:r w:rsidDel="00000000" w:rsidR="00000000" w:rsidRPr="00000000">
        <w:rPr>
          <w:rtl w:val="0"/>
        </w:rPr>
        <w:t xml:space="preserve">”, Jabes 32,3</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JABES-10-2024-0473_proof 134..146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3">
      <w:pPr>
        <w:spacing w:after="240" w:before="240" w:lineRule="auto"/>
        <w:ind w:left="36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Pino, Ivana, December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2022, “</w:t>
      </w:r>
      <w:r w:rsidDel="00000000" w:rsidR="00000000" w:rsidRPr="00000000">
        <w:rPr>
          <w:rFonts w:ascii="Times New Roman" w:cs="Times New Roman" w:eastAsia="Times New Roman" w:hAnsi="Times New Roman"/>
          <w:i w:val="1"/>
          <w:iCs w:val="1"/>
          <w:sz w:val="24"/>
          <w:szCs w:val="24"/>
          <w:rtl w:val="0"/>
        </w:rPr>
        <w:t xml:space="preserve">How the stock market behaves during the holiday season</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How the stock market behaves during the holiday season</w:t>
        </w:r>
      </w:hyperlink>
      <w:r w:rsidDel="00000000" w:rsidR="00000000" w:rsidRPr="00000000">
        <w:rPr>
          <w:color w:val="1155cc"/>
          <w:u w:val="single"/>
          <w:rtl w:val="0"/>
        </w:rPr>
        <w:t xml:space="preserve">. </w:t>
      </w:r>
      <w:r w:rsidDel="00000000" w:rsidR="00000000" w:rsidRPr="00000000">
        <w:rPr>
          <w:rtl w:val="0"/>
        </w:rPr>
      </w:r>
    </w:p>
    <w:p w:rsidR="00000000" w:rsidDel="00000000" w:rsidP="00000000" w:rsidRDefault="00000000" w:rsidRPr="00000000" w14:paraId="000001C4">
      <w:pPr>
        <w:spacing w:after="240" w:before="240" w:lineRule="auto"/>
        <w:ind w:left="360"/>
        <w:rPr/>
      </w:pPr>
      <w:r w:rsidDel="00000000" w:rsidR="00000000" w:rsidRPr="00000000">
        <w:rPr>
          <w:rtl w:val="0"/>
        </w:rPr>
        <w:t xml:space="preserve">Wong, K. A., Hui, T. K., &amp; Chan, C. Y. (1992). Day-of-the-week and other seasonal effects in the stock market: Evidence from Hong Kong. Asia Pacific Journal of Management, 9(2), 273–290. </w:t>
      </w:r>
      <w:hyperlink r:id="rId22">
        <w:r w:rsidDel="00000000" w:rsidR="00000000" w:rsidRPr="00000000">
          <w:rPr>
            <w:color w:val="1155cc"/>
            <w:u w:val="single"/>
            <w:rtl w:val="0"/>
          </w:rPr>
          <w:t xml:space="preserve">https://www.researchgate.net/publication/4831938_Day-of-the-week_effects_in_Selected_East_Asian_stock_markets</w:t>
        </w:r>
      </w:hyperlink>
      <w:r w:rsidDel="00000000" w:rsidR="00000000" w:rsidRPr="00000000">
        <w:rPr>
          <w:rtl w:val="0"/>
        </w:rPr>
        <w:t xml:space="preserve">. </w:t>
      </w:r>
      <w:r w:rsidDel="00000000" w:rsidR="00000000" w:rsidRPr="00000000">
        <w:rPr>
          <w:rtl w:val="0"/>
        </w:rPr>
      </w:r>
    </w:p>
    <w:sectPr>
      <w:headerReference r:id="rId23" w:type="default"/>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highlight w:val="white"/>
        <w:lang w:val="zh_H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240" w:before="240" w:lineRule="auto"/>
    </w:pPr>
    <w:rPr>
      <w:rFonts w:ascii="Times New Roman" w:cs="Times New Roman" w:eastAsia="Times New Roman" w:hAnsi="Times New Roman"/>
      <w:b w:val="1"/>
      <w:bCs w:val="1"/>
      <w:sz w:val="28"/>
      <w:szCs w:val="28"/>
    </w:rPr>
  </w:style>
  <w:style w:type="paragraph" w:styleId="Heading4">
    <w:name w:val="heading 4"/>
    <w:basedOn w:val="Normal"/>
    <w:next w:val="Normal"/>
    <w:pPr>
      <w:keepNext w:val="1"/>
      <w:keepLines w:val="1"/>
      <w:spacing w:after="240" w:befor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finance.yahoo.com/news/stock-market-behaves-during-holiday-152900251.html" TargetMode="External"/><Relationship Id="rId11" Type="http://schemas.openxmlformats.org/officeDocument/2006/relationships/hyperlink" Target="https://doi.org/10.1111/j.1540-6261.1990.tb03731.x" TargetMode="External"/><Relationship Id="rId22" Type="http://schemas.openxmlformats.org/officeDocument/2006/relationships/hyperlink" Target="https://www.researchgate.net/publication/4831938_Day-of-the-week_effects_in_Selected_East_Asian_stock_markets" TargetMode="External"/><Relationship Id="rId10" Type="http://schemas.openxmlformats.org/officeDocument/2006/relationships/image" Target="media/image2.png"/><Relationship Id="rId21" Type="http://schemas.openxmlformats.org/officeDocument/2006/relationships/hyperlink" Target="https://finance.yahoo.com/news/stock-market-behaves-during-holiday-152900251.html" TargetMode="External"/><Relationship Id="rId13" Type="http://schemas.openxmlformats.org/officeDocument/2006/relationships/hyperlink" Target="https://www.futunn.com/en/learn/detail-it-is-said-that-the-probability-of-a-rise-in-hong-kong-stocks-during-the-national-day-holiday-is-nea-91462-250996054" TargetMode="External"/><Relationship Id="rId12" Type="http://schemas.openxmlformats.org/officeDocument/2006/relationships/hyperlink" Target="https://www.researchgate.net/publication/281476622_Pre_and_post_Chinese_new_year_holiday_effects_Evidence_from_Hong_Kong_stock_market"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www.intertrader.com/row/market-insight/how-holidays-impact-the-financial-markets" TargetMode="External"/><Relationship Id="rId14" Type="http://schemas.openxmlformats.org/officeDocument/2006/relationships/hyperlink" Target="https://www.futunn.com/en/learn/detail-it-is-said-that-the-probability-of-a-rise-in-hong-kong-stocks-during-the-national-day-holiday-is-nea-91462-250996054" TargetMode="External"/><Relationship Id="rId17" Type="http://schemas.openxmlformats.org/officeDocument/2006/relationships/hyperlink" Target="https://www.jstor.org/stable/2962097" TargetMode="External"/><Relationship Id="rId16" Type="http://schemas.openxmlformats.org/officeDocument/2006/relationships/hyperlink" Target="https://www.intertrader.com/row/market-insight/how-holidays-impact-the-financial-markets" TargetMode="External"/><Relationship Id="rId5" Type="http://schemas.openxmlformats.org/officeDocument/2006/relationships/styles" Target="styles.xml"/><Relationship Id="rId19" Type="http://schemas.openxmlformats.org/officeDocument/2006/relationships/hyperlink" Target="https://www.emerald.com/jabes/article-pdf/32/3/134/10189948/jabes-10-2024-0473en.pdf" TargetMode="External"/><Relationship Id="rId6" Type="http://schemas.openxmlformats.org/officeDocument/2006/relationships/hyperlink" Target="https://finance.yahoo.com/" TargetMode="External"/><Relationship Id="rId18" Type="http://schemas.openxmlformats.org/officeDocument/2006/relationships/hyperlink" Target="https://www.emerald.com/jabes/article-pdf/32/3/134/10189948/jabes-10-2024-0473en.pdf" TargetMode="External"/><Relationship Id="rId7" Type="http://schemas.openxmlformats.org/officeDocument/2006/relationships/hyperlink" Target="https://www.hkex.com.hk/?sc_lang=en" TargetMode="External"/><Relationship Id="rId8" Type="http://schemas.openxmlformats.org/officeDocument/2006/relationships/hyperlink" Target="https://www.hkma.gov.hk/e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