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80" w:line="264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124D7A"/>
          <w:spacing w:val="0"/>
          <w:position w:val="0"/>
          <w:sz w:val="48"/>
          <w:shd w:fill="auto" w:val="clear"/>
        </w:rPr>
        <w:t xml:space="preserve">Neon Database Billing Report</w:t>
      </w:r>
    </w:p>
    <w:p>
      <w:pPr>
        <w:spacing w:before="0" w:after="200" w:line="264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4"/>
          <w:shd w:fill="auto" w:val="clear"/>
        </w:rPr>
        <w:t xml:space="preserve">Prepared for Management | POS / Invoice Management System</w:t>
      </w:r>
    </w:p>
    <w:tbl>
      <w:tblPr/>
      <w:tblGrid>
        <w:gridCol w:w="9936"/>
      </w:tblGrid>
      <w:tr>
        <w:trPr>
          <w:trHeight w:val="1110" w:hRule="auto"/>
          <w:jc w:val="center"/>
        </w:trPr>
        <w:tc>
          <w:tcPr>
            <w:tcW w:w="9936" w:type="dxa"/>
            <w:tcBorders>
              <w:top w:val="single" w:color="9cc2e5" w:sz="12"/>
              <w:left w:val="single" w:color="9cc2e5" w:sz="12"/>
              <w:bottom w:val="single" w:color="9cc2e5" w:sz="12"/>
              <w:right w:val="single" w:color="9cc2e5" w:sz="12"/>
            </w:tcBorders>
            <w:shd w:color="000000" w:fill="eaf3fb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Key Result: The system can run on Neon Free Tier in normal usage. With 26 working days and about 0.25 CU during working hours, the estimated bill is $0 on Free, about $8.34/month on Launch, and about $17.39/month on Scale (assuming ~200 MB storage and normal transfer).</w:t>
            </w:r>
          </w:p>
        </w:tc>
      </w:tr>
    </w:tbl>
    <w:p>
      <w:pPr>
        <w:spacing w:before="0" w:after="4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23E63"/>
          <w:spacing w:val="0"/>
          <w:position w:val="0"/>
          <w:sz w:val="32"/>
          <w:shd w:fill="auto" w:val="clear"/>
        </w:rPr>
        <w:t xml:space="preserve">1. Executive Summary</w:t>
      </w:r>
    </w:p>
    <w:p>
      <w:pPr>
        <w:spacing w:before="0" w:after="8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This report explains Neon billing for management. It shows how Compute Units (CU), storage, transfer, and backups affect the bill, and it gives a practical estimate for our system.</w:t>
      </w:r>
    </w:p>
    <w:p>
      <w:pPr>
        <w:spacing w:before="0" w:after="12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Main conclusion: the current design is lightweight, and the database cost should stay very low because the system stores only text data, while images and reports are handled outside the database.</w:t>
      </w:r>
    </w:p>
    <w:p>
      <w:pPr>
        <w:spacing w:before="0" w:after="12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23E63"/>
          <w:spacing w:val="0"/>
          <w:position w:val="0"/>
          <w:sz w:val="32"/>
          <w:shd w:fill="auto" w:val="clear"/>
        </w:rPr>
        <w:t xml:space="preserve">2. System Overview</w:t>
      </w:r>
    </w:p>
    <w:tbl>
      <w:tblPr/>
      <w:tblGrid>
        <w:gridCol w:w="3168"/>
        <w:gridCol w:w="7056"/>
      </w:tblGrid>
      <w:tr>
        <w:trPr>
          <w:trHeight w:val="270" w:hRule="auto"/>
          <w:jc w:val="center"/>
        </w:trPr>
        <w:tc>
          <w:tcPr>
            <w:tcW w:w="3168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color="000000" w:fill="f3f7fb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Products</w:t>
            </w:r>
          </w:p>
        </w:tc>
        <w:tc>
          <w:tcPr>
            <w:tcW w:w="7056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2,500</w:t>
            </w:r>
          </w:p>
        </w:tc>
      </w:tr>
      <w:tr>
        <w:trPr>
          <w:trHeight w:val="1" w:hRule="atLeast"/>
          <w:jc w:val="center"/>
        </w:trPr>
        <w:tc>
          <w:tcPr>
            <w:tcW w:w="3168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color="000000" w:fill="f3f7fb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Customers</w:t>
            </w:r>
          </w:p>
        </w:tc>
        <w:tc>
          <w:tcPr>
            <w:tcW w:w="7056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100</w:t>
            </w:r>
          </w:p>
        </w:tc>
      </w:tr>
      <w:tr>
        <w:trPr>
          <w:trHeight w:val="1" w:hRule="atLeast"/>
          <w:jc w:val="center"/>
        </w:trPr>
        <w:tc>
          <w:tcPr>
            <w:tcW w:w="3168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color="000000" w:fill="f3f7fb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Orders / Invoices</w:t>
            </w:r>
          </w:p>
        </w:tc>
        <w:tc>
          <w:tcPr>
            <w:tcW w:w="7056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5,000</w:t>
            </w:r>
          </w:p>
        </w:tc>
      </w:tr>
      <w:tr>
        <w:trPr>
          <w:trHeight w:val="1" w:hRule="atLeast"/>
          <w:jc w:val="center"/>
        </w:trPr>
        <w:tc>
          <w:tcPr>
            <w:tcW w:w="3168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color="000000" w:fill="f3f7fb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Refunds</w:t>
            </w:r>
          </w:p>
        </w:tc>
        <w:tc>
          <w:tcPr>
            <w:tcW w:w="7056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7,000</w:t>
            </w:r>
          </w:p>
        </w:tc>
      </w:tr>
      <w:tr>
        <w:trPr>
          <w:trHeight w:val="1" w:hRule="atLeast"/>
          <w:jc w:val="center"/>
        </w:trPr>
        <w:tc>
          <w:tcPr>
            <w:tcW w:w="3168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color="000000" w:fill="f3f7fb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Expenses</w:t>
            </w:r>
          </w:p>
        </w:tc>
        <w:tc>
          <w:tcPr>
            <w:tcW w:w="7056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1,000</w:t>
            </w:r>
          </w:p>
        </w:tc>
      </w:tr>
    </w:tbl>
    <w:p>
      <w:pPr>
        <w:spacing w:before="0" w:after="12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Design note: only text data is stored in Neon. Images are stored in Cloudinary, and reports are generated as PDFs at runtime. This keeps the database small and cost-efficient.</w:t>
      </w:r>
    </w:p>
    <w:p>
      <w:pPr>
        <w:spacing w:before="0" w:after="12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23E63"/>
          <w:spacing w:val="0"/>
          <w:position w:val="0"/>
          <w:sz w:val="32"/>
          <w:shd w:fill="auto" w:val="clear"/>
        </w:rPr>
        <w:t xml:space="preserve">3. How Neon Billing Works</w:t>
      </w:r>
    </w:p>
    <w:p>
      <w:pPr>
        <w:spacing w:before="0" w:after="10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Neon charges mainly for four things: compute, storage, backup/history storage, and data transfer. For this project, compute is the main item to watch.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848" w:dyaOrig="6215">
          <v:rect xmlns:o="urn:schemas-microsoft-com:office:office" xmlns:v="urn:schemas-microsoft-com:vml" id="rectole0000000000" style="width:442.400000pt;height:310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10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484"/>
        <w:gridCol w:w="2484"/>
        <w:gridCol w:w="2484"/>
        <w:gridCol w:w="2484"/>
      </w:tblGrid>
      <w:tr>
        <w:trPr>
          <w:trHeight w:val="1" w:hRule="atLeast"/>
          <w:jc w:val="center"/>
        </w:trPr>
        <w:tc>
          <w:tcPr>
            <w:tcW w:w="2484" w:type="dxa"/>
            <w:tcBorders>
              <w:top w:val="single" w:color="9cc2e5" w:sz="8"/>
              <w:left w:val="single" w:color="9cc2e5" w:sz="8"/>
              <w:bottom w:val="single" w:color="9cc2e5" w:sz="8"/>
              <w:right w:val="single" w:color="9cc2e5" w:sz="8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123E63"/>
                <w:spacing w:val="0"/>
                <w:position w:val="0"/>
                <w:sz w:val="22"/>
                <w:shd w:fill="auto" w:val="clear"/>
              </w:rPr>
              <w:t xml:space="preserve">Component</w:t>
            </w:r>
          </w:p>
        </w:tc>
        <w:tc>
          <w:tcPr>
            <w:tcW w:w="2484" w:type="dxa"/>
            <w:tcBorders>
              <w:top w:val="single" w:color="9cc2e5" w:sz="8"/>
              <w:left w:val="single" w:color="9cc2e5" w:sz="8"/>
              <w:bottom w:val="single" w:color="9cc2e5" w:sz="8"/>
              <w:right w:val="single" w:color="9cc2e5" w:sz="8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123E63"/>
                <w:spacing w:val="0"/>
                <w:position w:val="0"/>
                <w:sz w:val="22"/>
                <w:shd w:fill="auto" w:val="clear"/>
              </w:rPr>
              <w:t xml:space="preserve">Official Rate / Limit</w:t>
            </w:r>
          </w:p>
        </w:tc>
        <w:tc>
          <w:tcPr>
            <w:tcW w:w="2484" w:type="dxa"/>
            <w:tcBorders>
              <w:top w:val="single" w:color="9cc2e5" w:sz="8"/>
              <w:left w:val="single" w:color="9cc2e5" w:sz="8"/>
              <w:bottom w:val="single" w:color="9cc2e5" w:sz="8"/>
              <w:right w:val="single" w:color="9cc2e5" w:sz="8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123E63"/>
                <w:spacing w:val="0"/>
                <w:position w:val="0"/>
                <w:sz w:val="22"/>
                <w:shd w:fill="auto" w:val="clear"/>
              </w:rPr>
              <w:t xml:space="preserve">Simple Meaning</w:t>
            </w:r>
          </w:p>
        </w:tc>
        <w:tc>
          <w:tcPr>
            <w:tcW w:w="2484" w:type="dxa"/>
            <w:tcBorders>
              <w:top w:val="single" w:color="9cc2e5" w:sz="8"/>
              <w:left w:val="single" w:color="9cc2e5" w:sz="8"/>
              <w:bottom w:val="single" w:color="9cc2e5" w:sz="8"/>
              <w:right w:val="single" w:color="9cc2e5" w:sz="8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123E63"/>
                <w:spacing w:val="0"/>
                <w:position w:val="0"/>
                <w:sz w:val="22"/>
                <w:shd w:fill="auto" w:val="clear"/>
              </w:rPr>
              <w:t xml:space="preserve">Impact on This Project</w:t>
            </w:r>
          </w:p>
        </w:tc>
      </w:tr>
      <w:tr>
        <w:trPr>
          <w:trHeight w:val="1" w:hRule="atLeast"/>
          <w:jc w:val="center"/>
        </w:trPr>
        <w:tc>
          <w:tcPr>
            <w:tcW w:w="2484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Compute</w:t>
            </w:r>
          </w:p>
        </w:tc>
        <w:tc>
          <w:tcPr>
            <w:tcW w:w="2484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$0.106/CU-hour (Launch); $0.222/CU-hour (Scale)</w:t>
            </w:r>
          </w:p>
        </w:tc>
        <w:tc>
          <w:tcPr>
            <w:tcW w:w="2484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Database power used over time</w:t>
            </w:r>
          </w:p>
        </w:tc>
        <w:tc>
          <w:tcPr>
            <w:tcW w:w="2484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Main cost</w:t>
            </w:r>
          </w:p>
        </w:tc>
      </w:tr>
      <w:tr>
        <w:trPr>
          <w:trHeight w:val="1" w:hRule="atLeast"/>
          <w:jc w:val="center"/>
        </w:trPr>
        <w:tc>
          <w:tcPr>
            <w:tcW w:w="2484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Storage</w:t>
            </w:r>
          </w:p>
        </w:tc>
        <w:tc>
          <w:tcPr>
            <w:tcW w:w="2484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$0.35/GB-month</w:t>
            </w:r>
          </w:p>
        </w:tc>
        <w:tc>
          <w:tcPr>
            <w:tcW w:w="2484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How much data is stored</w:t>
            </w:r>
          </w:p>
        </w:tc>
        <w:tc>
          <w:tcPr>
            <w:tcW w:w="2484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Very low</w:t>
            </w:r>
          </w:p>
        </w:tc>
      </w:tr>
      <w:tr>
        <w:trPr>
          <w:trHeight w:val="1" w:hRule="atLeast"/>
          <w:jc w:val="center"/>
        </w:trPr>
        <w:tc>
          <w:tcPr>
            <w:tcW w:w="2484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Restore / history</w:t>
            </w:r>
          </w:p>
        </w:tc>
        <w:tc>
          <w:tcPr>
            <w:tcW w:w="2484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$0.20/GB-month</w:t>
            </w:r>
          </w:p>
        </w:tc>
        <w:tc>
          <w:tcPr>
            <w:tcW w:w="2484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Extra storage for history/restore</w:t>
            </w:r>
          </w:p>
        </w:tc>
        <w:tc>
          <w:tcPr>
            <w:tcW w:w="2484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Very low</w:t>
            </w:r>
          </w:p>
        </w:tc>
      </w:tr>
      <w:tr>
        <w:trPr>
          <w:trHeight w:val="1" w:hRule="atLeast"/>
          <w:jc w:val="center"/>
        </w:trPr>
        <w:tc>
          <w:tcPr>
            <w:tcW w:w="2484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Public transfer</w:t>
            </w:r>
          </w:p>
        </w:tc>
        <w:tc>
          <w:tcPr>
            <w:tcW w:w="2484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 GB free; then 100 GB included on paid plans; then $0.10/GB</w:t>
            </w:r>
          </w:p>
        </w:tc>
        <w:tc>
          <w:tcPr>
            <w:tcW w:w="2484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sent to users</w:t>
            </w:r>
          </w:p>
        </w:tc>
        <w:tc>
          <w:tcPr>
            <w:tcW w:w="2484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Usually small</w:t>
            </w:r>
          </w:p>
        </w:tc>
      </w:tr>
      <w:tr>
        <w:trPr>
          <w:trHeight w:val="1" w:hRule="atLeast"/>
          <w:jc w:val="center"/>
        </w:trPr>
        <w:tc>
          <w:tcPr>
            <w:tcW w:w="2484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Extra branches</w:t>
            </w:r>
          </w:p>
        </w:tc>
        <w:tc>
          <w:tcPr>
            <w:tcW w:w="2484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$1.50/branch-month</w:t>
            </w:r>
          </w:p>
        </w:tc>
        <w:tc>
          <w:tcPr>
            <w:tcW w:w="2484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Extra database branches</w:t>
            </w:r>
          </w:p>
        </w:tc>
        <w:tc>
          <w:tcPr>
            <w:tcW w:w="2484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Usually none</w:t>
            </w:r>
          </w:p>
        </w:tc>
      </w:tr>
    </w:tbl>
    <w:p>
      <w:pPr>
        <w:spacing w:before="0" w:after="12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Neon bills based on actual usage, not on how many users exist in the app. If the database is idle, it can scale to zero after inactivity, which reduces cost.</w:t>
      </w:r>
    </w:p>
    <w:p>
      <w:pPr>
        <w:spacing w:before="0" w:after="12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23E63"/>
          <w:spacing w:val="0"/>
          <w:position w:val="0"/>
          <w:sz w:val="32"/>
          <w:shd w:fill="auto" w:val="clear"/>
        </w:rPr>
        <w:t xml:space="preserve">4. Compute Units (CU) Explained</w:t>
      </w:r>
    </w:p>
    <w:tbl>
      <w:tblPr/>
      <w:tblGrid>
        <w:gridCol w:w="2880"/>
        <w:gridCol w:w="7056"/>
      </w:tblGrid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9cc2e5" w:sz="8"/>
              <w:left w:val="single" w:color="9cc2e5" w:sz="8"/>
              <w:bottom w:val="single" w:color="9cc2e5" w:sz="8"/>
              <w:right w:val="single" w:color="9cc2e5" w:sz="8"/>
            </w:tcBorders>
            <w:shd w:color="000000" w:fill="eaf3fb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123E63"/>
                <w:spacing w:val="0"/>
                <w:position w:val="0"/>
                <w:sz w:val="22"/>
                <w:shd w:fill="auto" w:val="clear"/>
              </w:rPr>
              <w:t xml:space="preserve">CU Definition</w:t>
            </w:r>
          </w:p>
        </w:tc>
        <w:tc>
          <w:tcPr>
            <w:tcW w:w="7056" w:type="dxa"/>
            <w:tcBorders>
              <w:top w:val="single" w:color="9cc2e5" w:sz="8"/>
              <w:left w:val="single" w:color="9cc2e5" w:sz="8"/>
              <w:bottom w:val="single" w:color="9cc2e5" w:sz="8"/>
              <w:right w:val="single" w:color="9cc2e5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 CU = about 1 vCPU + 4 GB RAM.</w:t>
              <w:br/>
              <w:t xml:space="preserve">0.25 CU = about 1 GB RAM.</w:t>
              <w:br/>
              <w:t xml:space="preserve">0.5 CU = about 2 GB RAM.</w:t>
              <w:br/>
              <w:t xml:space="preserve">2 CU = about 8 GB RAM.</w:t>
            </w:r>
          </w:p>
        </w:tc>
      </w:tr>
    </w:tbl>
    <w:p>
      <w:pPr>
        <w:spacing w:before="0" w:after="12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Important: CU-hours means CU size multiplied by the number of running hours. </w:t>
      </w:r>
    </w:p>
    <w:p>
      <w:pPr>
        <w:spacing w:before="0" w:after="12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Example: 0.25 CU running for 4 hours = 1 CU-hour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spacing w:before="0" w:after="12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So billing depends on both size and time.</w:t>
      </w:r>
    </w:p>
    <w:p>
      <w:pPr>
        <w:spacing w:before="0" w:after="12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Neon compute can be limited by setting a minimum and maximum CU range. If the maximum is set to 0.5 CU, the database will not scale above 0.5 CU. Also, Neon can scale to zero after 5 minutes of inactivity, so billing is mainly for active usage.</w:t>
      </w:r>
    </w:p>
    <w:p>
      <w:pPr>
        <w:spacing w:before="0" w:after="12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23E63"/>
          <w:spacing w:val="0"/>
          <w:position w:val="0"/>
          <w:sz w:val="32"/>
          <w:shd w:fill="auto" w:val="clear"/>
        </w:rPr>
        <w:t xml:space="preserve">5. Monthly Usage Estimate</w:t>
      </w:r>
    </w:p>
    <w:tbl>
      <w:tblPr/>
      <w:tblGrid>
        <w:gridCol w:w="9936"/>
      </w:tblGrid>
      <w:tr>
        <w:trPr>
          <w:trHeight w:val="1" w:hRule="atLeast"/>
          <w:jc w:val="center"/>
        </w:trPr>
        <w:tc>
          <w:tcPr>
            <w:tcW w:w="9936" w:type="dxa"/>
            <w:tcBorders>
              <w:top w:val="single" w:color="e8c56a" w:sz="10"/>
              <w:left w:val="single" w:color="e8c56a" w:sz="10"/>
              <w:bottom w:val="single" w:color="e8c56a" w:sz="10"/>
              <w:right w:val="single" w:color="e8c56a" w:sz="10"/>
            </w:tcBorders>
            <w:shd w:color="000000" w:fill="fff7e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Working hours assumption: 12 hours/day × 26 days/month = 312 hours/month</w:t>
              <w:br/>
              <w:t xml:space="preserve">Average compute size: 0.25 CU</w:t>
              <w:br/>
              <w:t xml:space="preserve">Monthly compute: 0.25 × 312 = 78 CU-hours</w:t>
              <w:br/>
              <w:t xml:space="preserve">Free limit: 100 CU-hours per project/month</w:t>
            </w:r>
          </w:p>
        </w:tc>
      </w:tr>
    </w:tbl>
    <w:p>
      <w:pPr>
        <w:spacing w:before="0" w:after="12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Result: with 26 working days, the database uses about 78 CU-hours per month, which is still inside the Free plan allowance as long as the storage limit is also respected.</w:t>
      </w:r>
    </w:p>
    <w:p>
      <w:pPr>
        <w:spacing w:before="0" w:after="12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23E63"/>
          <w:spacing w:val="0"/>
          <w:position w:val="0"/>
          <w:sz w:val="32"/>
          <w:shd w:fill="auto" w:val="clear"/>
        </w:rPr>
        <w:t xml:space="preserve">6. Estimated Monthly Billing</w:t>
      </w:r>
    </w:p>
    <w:tbl>
      <w:tblPr/>
      <w:tblGrid>
        <w:gridCol w:w="3312"/>
        <w:gridCol w:w="3312"/>
        <w:gridCol w:w="3312"/>
      </w:tblGrid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9cc2e5" w:sz="8"/>
              <w:left w:val="single" w:color="9cc2e5" w:sz="8"/>
              <w:bottom w:val="single" w:color="9cc2e5" w:sz="8"/>
              <w:right w:val="single" w:color="9cc2e5" w:sz="8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Billing Item</w:t>
            </w:r>
          </w:p>
        </w:tc>
        <w:tc>
          <w:tcPr>
            <w:tcW w:w="3312" w:type="dxa"/>
            <w:tcBorders>
              <w:top w:val="single" w:color="9cc2e5" w:sz="8"/>
              <w:left w:val="single" w:color="9cc2e5" w:sz="8"/>
              <w:bottom w:val="single" w:color="9cc2e5" w:sz="8"/>
              <w:right w:val="single" w:color="9cc2e5" w:sz="8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Free Tier</w:t>
            </w:r>
          </w:p>
        </w:tc>
        <w:tc>
          <w:tcPr>
            <w:tcW w:w="3312" w:type="dxa"/>
            <w:tcBorders>
              <w:top w:val="single" w:color="9cc2e5" w:sz="8"/>
              <w:left w:val="single" w:color="9cc2e5" w:sz="8"/>
              <w:bottom w:val="single" w:color="9cc2e5" w:sz="8"/>
              <w:right w:val="single" w:color="9cc2e5" w:sz="8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Paid Plan Estimate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Compute</w:t>
            </w:r>
          </w:p>
        </w:tc>
        <w:tc>
          <w:tcPr>
            <w:tcW w:w="3312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$0 (included up to 100 CU-hours)</w:t>
            </w:r>
          </w:p>
        </w:tc>
        <w:tc>
          <w:tcPr>
            <w:tcW w:w="3312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Launch: $8.27/month</w:t>
              <w:br/>
              <w:t xml:space="preserve">Scale: $17.32/month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Storage</w:t>
            </w:r>
          </w:p>
        </w:tc>
        <w:tc>
          <w:tcPr>
            <w:tcW w:w="3312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$0 (up to 0.5 GB)</w:t>
            </w:r>
          </w:p>
        </w:tc>
        <w:tc>
          <w:tcPr>
            <w:tcW w:w="3312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About $0.07/month for 200 MB</w:t>
              <w:br/>
              <w:t xml:space="preserve">About $0.18/month for 500 MB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Backup / History</w:t>
            </w:r>
          </w:p>
        </w:tc>
        <w:tc>
          <w:tcPr>
            <w:tcW w:w="3312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$0 (small usage assumed)</w:t>
            </w:r>
          </w:p>
        </w:tc>
        <w:tc>
          <w:tcPr>
            <w:tcW w:w="3312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Estimated as negligible in this report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Transfer</w:t>
            </w:r>
          </w:p>
        </w:tc>
        <w:tc>
          <w:tcPr>
            <w:tcW w:w="3312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$0 (up to 5 GB)</w:t>
            </w:r>
          </w:p>
        </w:tc>
        <w:tc>
          <w:tcPr>
            <w:tcW w:w="3312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Estimated as negligible in this report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ef6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Total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ef6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$0/month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ef6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Launch: about $10/month</w:t>
              <w:br/>
              <w:t xml:space="preserve">Scale: about $20/month</w:t>
            </w:r>
          </w:p>
        </w:tc>
      </w:tr>
    </w:tbl>
    <w:p>
      <w:pPr>
        <w:spacing w:before="80" w:after="80" w:line="264"/>
        <w:ind w:right="0" w:left="0" w:firstLine="0"/>
        <w:jc w:val="left"/>
        <w:rPr>
          <w:rFonts w:ascii="Arial" w:hAnsi="Arial" w:cs="Arial" w:eastAsia="Arial"/>
          <w:b/>
          <w:color w:val="123E63"/>
          <w:spacing w:val="0"/>
          <w:position w:val="0"/>
          <w:sz w:val="32"/>
          <w:shd w:fill="auto" w:val="clear"/>
        </w:rPr>
      </w:pPr>
    </w:p>
    <w:p>
      <w:pPr>
        <w:spacing w:before="80" w:after="8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23E63"/>
          <w:spacing w:val="0"/>
          <w:position w:val="0"/>
          <w:sz w:val="32"/>
          <w:shd w:fill="auto" w:val="clear"/>
        </w:rPr>
        <w:t xml:space="preserve">7. Why This Setup Stays Cheap</w:t>
      </w:r>
    </w:p>
    <w:tbl>
      <w:tblPr/>
      <w:tblGrid>
        <w:gridCol w:w="9936"/>
      </w:tblGrid>
      <w:tr>
        <w:trPr>
          <w:trHeight w:val="1" w:hRule="atLeast"/>
          <w:jc w:val="center"/>
        </w:trPr>
        <w:tc>
          <w:tcPr>
            <w:tcW w:w="9936" w:type="dxa"/>
            <w:tcBorders>
              <w:top w:val="single" w:color="a9d18e" w:sz="10"/>
              <w:left w:val="single" w:color="a9d18e" w:sz="10"/>
              <w:bottom w:val="single" w:color="a9d18e" w:sz="10"/>
              <w:right w:val="single" w:color="a9d18e" w:sz="10"/>
            </w:tcBorders>
            <w:shd w:color="000000" w:fill="eef7e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64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Only text data is stored in the database.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Images are stored outside Neon in Cloudinary.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PDF reports are generated at runtime.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Neon can scale down to zero when idle, which reduces cost.</w:t>
            </w:r>
          </w:p>
        </w:tc>
      </w:tr>
    </w:tbl>
    <w:p>
      <w:pPr>
        <w:spacing w:before="80" w:after="80" w:line="264"/>
        <w:ind w:right="0" w:left="0" w:firstLine="0"/>
        <w:jc w:val="left"/>
        <w:rPr>
          <w:rFonts w:ascii="Arial" w:hAnsi="Arial" w:cs="Arial" w:eastAsia="Arial"/>
          <w:b/>
          <w:color w:val="123E63"/>
          <w:spacing w:val="0"/>
          <w:position w:val="0"/>
          <w:sz w:val="32"/>
          <w:shd w:fill="auto" w:val="clear"/>
        </w:rPr>
      </w:pPr>
    </w:p>
    <w:p>
      <w:pPr>
        <w:spacing w:before="80" w:after="8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23E63"/>
          <w:spacing w:val="0"/>
          <w:position w:val="0"/>
          <w:sz w:val="32"/>
          <w:shd w:fill="auto" w:val="clear"/>
        </w:rPr>
        <w:t xml:space="preserve">8. Final Recommendation</w:t>
      </w:r>
    </w:p>
    <w:p>
      <w:pPr>
        <w:spacing w:before="0" w:after="8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Start with the Free plan. Monitor compute, storage, and transfer. Upgrade only if the workload grows beyond the free limits or production traffic increases.</w:t>
      </w:r>
    </w:p>
    <w:p>
      <w:pPr>
        <w:spacing w:before="0" w:after="160" w:line="264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Overall, Neon is a cost-effective and scalable database choice for this project.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Source note: Pricing and CU sizing are based on Neon official pricing and documentation reviewed on 28 March 2026.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