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E0A63">
      <w:pPr>
        <w:jc w:val="center"/>
        <w:rPr>
          <w:rFonts w:hint="eastAsia" w:ascii="黑体" w:hAnsi="黑体" w:eastAsia="黑体"/>
          <w:sz w:val="52"/>
          <w:szCs w:val="52"/>
        </w:rPr>
      </w:pPr>
      <w:r>
        <w:rPr>
          <w:rFonts w:hint="eastAsia" w:ascii="黑体" w:hAnsi="黑体" w:eastAsia="黑体"/>
          <w:sz w:val="52"/>
          <w:szCs w:val="52"/>
        </w:rPr>
        <w:t>南京农业大学</w:t>
      </w:r>
    </w:p>
    <w:p w14:paraId="48FF875F">
      <w:pPr>
        <w:jc w:val="center"/>
        <w:rPr>
          <w:rFonts w:ascii="黑体" w:hAnsi="黑体" w:eastAsia="黑体"/>
          <w:sz w:val="52"/>
          <w:szCs w:val="52"/>
        </w:rPr>
      </w:pPr>
      <w:r>
        <w:rPr>
          <w:rFonts w:hint="eastAsia" w:ascii="黑体" w:hAnsi="黑体" w:eastAsia="黑体"/>
          <w:sz w:val="52"/>
          <w:szCs w:val="52"/>
        </w:rPr>
        <w:t>大学生创新训练项目结题报告</w:t>
      </w:r>
    </w:p>
    <w:p w14:paraId="71C2F2EB">
      <w:pPr>
        <w:pStyle w:val="2"/>
        <w:keepNext/>
        <w:spacing w:line="600" w:lineRule="atLeast"/>
        <w:textAlignment w:val="center"/>
        <w:rPr>
          <w:rFonts w:hint="eastAsia" w:ascii="黑体" w:hAnsi="黑体" w:eastAsia="黑体"/>
          <w:b w:val="0"/>
          <w:bCs w:val="0"/>
          <w:sz w:val="28"/>
          <w:szCs w:val="28"/>
        </w:rPr>
      </w:pPr>
      <w:r>
        <w:rPr>
          <w:rFonts w:hint="eastAsia" w:ascii="黑体" w:hAnsi="黑体" w:eastAsia="黑体"/>
          <w:b w:val="0"/>
          <w:bCs w:val="0"/>
          <w:sz w:val="28"/>
          <w:szCs w:val="28"/>
        </w:rPr>
        <w:t xml:space="preserve">一、 项目基本信息 </w:t>
      </w:r>
    </w:p>
    <w:tbl>
      <w:tblPr>
        <w:tblStyle w:val="8"/>
        <w:tblW w:w="5000" w:type="pct"/>
        <w:tblInd w:w="0" w:type="dxa"/>
        <w:tblLayout w:type="autofit"/>
        <w:tblCellMar>
          <w:top w:w="15" w:type="dxa"/>
          <w:left w:w="15" w:type="dxa"/>
          <w:bottom w:w="15" w:type="dxa"/>
          <w:right w:w="15" w:type="dxa"/>
        </w:tblCellMar>
      </w:tblPr>
      <w:tblGrid>
        <w:gridCol w:w="1920"/>
        <w:gridCol w:w="960"/>
        <w:gridCol w:w="1920"/>
        <w:gridCol w:w="4800"/>
      </w:tblGrid>
      <w:tr w14:paraId="7BE0BE7E">
        <w:tblPrEx>
          <w:tblCellMar>
            <w:top w:w="15" w:type="dxa"/>
            <w:left w:w="15" w:type="dxa"/>
            <w:bottom w:w="15" w:type="dxa"/>
            <w:right w:w="15" w:type="dxa"/>
          </w:tblCellMar>
        </w:tblPrEx>
        <w:tc>
          <w:tcPr>
            <w:tcW w:w="1000" w:type="pct"/>
            <w:tcBorders>
              <w:top w:val="single" w:color="auto" w:sz="8" w:space="0"/>
              <w:left w:val="single" w:color="auto" w:sz="8" w:space="0"/>
              <w:bottom w:val="single" w:color="auto" w:sz="8" w:space="0"/>
              <w:right w:val="single" w:color="auto" w:sz="8" w:space="0"/>
            </w:tcBorders>
            <w:noWrap w:val="0"/>
            <w:tcMar>
              <w:top w:w="120" w:type="dxa"/>
              <w:left w:w="120" w:type="dxa"/>
              <w:bottom w:w="120" w:type="dxa"/>
              <w:right w:w="120" w:type="dxa"/>
            </w:tcMar>
            <w:vAlign w:val="center"/>
          </w:tcPr>
          <w:p w14:paraId="1F2012C2">
            <w:pPr>
              <w:jc w:val="center"/>
            </w:pPr>
            <w:r>
              <w:rPr>
                <w:rFonts w:hint="eastAsia"/>
              </w:rPr>
              <w:t>项目名称</w:t>
            </w:r>
          </w:p>
        </w:tc>
        <w:tc>
          <w:tcPr>
            <w:tcW w:w="0" w:type="auto"/>
            <w:gridSpan w:val="3"/>
            <w:tcBorders>
              <w:top w:val="single" w:color="auto" w:sz="8" w:space="0"/>
              <w:left w:val="single" w:color="auto" w:sz="8" w:space="0"/>
              <w:bottom w:val="single" w:color="auto" w:sz="8" w:space="0"/>
              <w:right w:val="single" w:color="auto" w:sz="8" w:space="0"/>
            </w:tcBorders>
            <w:noWrap w:val="0"/>
            <w:tcMar>
              <w:top w:w="120" w:type="dxa"/>
              <w:left w:w="240" w:type="dxa"/>
              <w:bottom w:w="120" w:type="dxa"/>
              <w:right w:w="120" w:type="dxa"/>
            </w:tcMar>
            <w:vAlign w:val="center"/>
          </w:tcPr>
          <w:p w14:paraId="10FB51D9"/>
        </w:tc>
      </w:tr>
      <w:tr w14:paraId="4F19D6B7">
        <w:tblPrEx>
          <w:tblCellMar>
            <w:top w:w="15" w:type="dxa"/>
            <w:left w:w="15" w:type="dxa"/>
            <w:bottom w:w="15" w:type="dxa"/>
            <w:right w:w="15" w:type="dxa"/>
          </w:tblCellMar>
        </w:tblPrEx>
        <w:tc>
          <w:tcPr>
            <w:tcW w:w="1000" w:type="pct"/>
            <w:tcBorders>
              <w:top w:val="single" w:color="auto" w:sz="8" w:space="0"/>
              <w:left w:val="single" w:color="auto" w:sz="8" w:space="0"/>
              <w:bottom w:val="single" w:color="auto" w:sz="8" w:space="0"/>
              <w:right w:val="single" w:color="auto" w:sz="8" w:space="0"/>
            </w:tcBorders>
            <w:noWrap w:val="0"/>
            <w:tcMar>
              <w:top w:w="120" w:type="dxa"/>
              <w:left w:w="120" w:type="dxa"/>
              <w:bottom w:w="120" w:type="dxa"/>
              <w:right w:w="120" w:type="dxa"/>
            </w:tcMar>
            <w:vAlign w:val="center"/>
          </w:tcPr>
          <w:p w14:paraId="067698DE">
            <w:pPr>
              <w:jc w:val="center"/>
            </w:pPr>
            <w:r>
              <w:rPr>
                <w:rFonts w:hint="eastAsia"/>
              </w:rPr>
              <w:t>项目编号</w:t>
            </w:r>
          </w:p>
        </w:tc>
        <w:tc>
          <w:tcPr>
            <w:tcW w:w="0" w:type="auto"/>
            <w:gridSpan w:val="3"/>
            <w:tcBorders>
              <w:top w:val="single" w:color="auto" w:sz="8" w:space="0"/>
              <w:left w:val="single" w:color="auto" w:sz="8" w:space="0"/>
              <w:bottom w:val="single" w:color="auto" w:sz="8" w:space="0"/>
              <w:right w:val="single" w:color="auto" w:sz="8" w:space="0"/>
            </w:tcBorders>
            <w:noWrap w:val="0"/>
            <w:tcMar>
              <w:top w:w="120" w:type="dxa"/>
              <w:left w:w="240" w:type="dxa"/>
              <w:bottom w:w="120" w:type="dxa"/>
              <w:right w:w="120" w:type="dxa"/>
            </w:tcMar>
            <w:vAlign w:val="center"/>
          </w:tcPr>
          <w:p w14:paraId="2BCA244F"/>
        </w:tc>
      </w:tr>
      <w:tr w14:paraId="6B56A082">
        <w:tblPrEx>
          <w:tblCellMar>
            <w:top w:w="15" w:type="dxa"/>
            <w:left w:w="15" w:type="dxa"/>
            <w:bottom w:w="15" w:type="dxa"/>
            <w:right w:w="15" w:type="dxa"/>
          </w:tblCellMar>
        </w:tblPrEx>
        <w:tc>
          <w:tcPr>
            <w:tcW w:w="1000" w:type="pct"/>
            <w:tcBorders>
              <w:top w:val="single" w:color="auto" w:sz="8" w:space="0"/>
              <w:left w:val="single" w:color="auto" w:sz="8" w:space="0"/>
              <w:bottom w:val="single" w:color="auto" w:sz="8" w:space="0"/>
              <w:right w:val="single" w:color="auto" w:sz="8" w:space="0"/>
            </w:tcBorders>
            <w:noWrap w:val="0"/>
            <w:tcMar>
              <w:top w:w="120" w:type="dxa"/>
              <w:left w:w="120" w:type="dxa"/>
              <w:bottom w:w="120" w:type="dxa"/>
              <w:right w:w="120" w:type="dxa"/>
            </w:tcMar>
            <w:vAlign w:val="center"/>
          </w:tcPr>
          <w:p w14:paraId="13D65E78">
            <w:pPr>
              <w:jc w:val="center"/>
            </w:pPr>
            <w:r>
              <w:rPr>
                <w:rFonts w:hint="eastAsia"/>
              </w:rPr>
              <w:t>起止时间（年月）</w:t>
            </w:r>
          </w:p>
        </w:tc>
        <w:tc>
          <w:tcPr>
            <w:tcW w:w="0" w:type="auto"/>
            <w:gridSpan w:val="3"/>
            <w:tcBorders>
              <w:top w:val="single" w:color="auto" w:sz="8" w:space="0"/>
              <w:left w:val="single" w:color="auto" w:sz="8" w:space="0"/>
              <w:bottom w:val="single" w:color="auto" w:sz="8" w:space="0"/>
              <w:right w:val="single" w:color="auto" w:sz="8" w:space="0"/>
            </w:tcBorders>
            <w:noWrap w:val="0"/>
            <w:tcMar>
              <w:top w:w="120" w:type="dxa"/>
              <w:left w:w="240" w:type="dxa"/>
              <w:bottom w:w="120" w:type="dxa"/>
              <w:right w:w="120" w:type="dxa"/>
            </w:tcMar>
            <w:vAlign w:val="center"/>
          </w:tcPr>
          <w:p w14:paraId="324AF1D3"/>
        </w:tc>
      </w:tr>
      <w:tr w14:paraId="1E50CCCE">
        <w:tblPrEx>
          <w:tblCellMar>
            <w:top w:w="15" w:type="dxa"/>
            <w:left w:w="15" w:type="dxa"/>
            <w:bottom w:w="15" w:type="dxa"/>
            <w:right w:w="15" w:type="dxa"/>
          </w:tblCellMar>
        </w:tblPrEx>
        <w:tc>
          <w:tcPr>
            <w:tcW w:w="1000" w:type="pct"/>
            <w:tcBorders>
              <w:top w:val="single" w:color="auto" w:sz="8" w:space="0"/>
              <w:left w:val="single" w:color="auto" w:sz="8" w:space="0"/>
              <w:bottom w:val="single" w:color="auto" w:sz="8" w:space="0"/>
              <w:right w:val="single" w:color="auto" w:sz="8" w:space="0"/>
            </w:tcBorders>
            <w:noWrap w:val="0"/>
            <w:tcMar>
              <w:top w:w="120" w:type="dxa"/>
              <w:left w:w="120" w:type="dxa"/>
              <w:bottom w:w="120" w:type="dxa"/>
              <w:right w:w="120" w:type="dxa"/>
            </w:tcMar>
            <w:vAlign w:val="center"/>
          </w:tcPr>
          <w:p w14:paraId="10EC8B8C">
            <w:pPr>
              <w:jc w:val="center"/>
            </w:pPr>
            <w:r>
              <w:rPr>
                <w:rFonts w:hint="eastAsia"/>
              </w:rPr>
              <w:t>项目负责人</w:t>
            </w:r>
          </w:p>
        </w:tc>
        <w:tc>
          <w:tcPr>
            <w:tcW w:w="500" w:type="pct"/>
            <w:tcBorders>
              <w:top w:val="single" w:color="auto" w:sz="8" w:space="0"/>
              <w:left w:val="single" w:color="auto" w:sz="8" w:space="0"/>
              <w:bottom w:val="single" w:color="auto" w:sz="8" w:space="0"/>
              <w:right w:val="single" w:color="auto" w:sz="8" w:space="0"/>
            </w:tcBorders>
            <w:noWrap w:val="0"/>
            <w:tcMar>
              <w:top w:w="120" w:type="dxa"/>
              <w:left w:w="240" w:type="dxa"/>
              <w:bottom w:w="120" w:type="dxa"/>
              <w:right w:w="120" w:type="dxa"/>
            </w:tcMar>
            <w:vAlign w:val="center"/>
          </w:tcPr>
          <w:p w14:paraId="2FA636FB"/>
        </w:tc>
        <w:tc>
          <w:tcPr>
            <w:tcW w:w="1000" w:type="pct"/>
            <w:tcBorders>
              <w:top w:val="single" w:color="auto" w:sz="8" w:space="0"/>
              <w:left w:val="single" w:color="auto" w:sz="8" w:space="0"/>
              <w:bottom w:val="single" w:color="auto" w:sz="8" w:space="0"/>
              <w:right w:val="single" w:color="auto" w:sz="8" w:space="0"/>
            </w:tcBorders>
            <w:noWrap w:val="0"/>
            <w:tcMar>
              <w:top w:w="120" w:type="dxa"/>
              <w:left w:w="120" w:type="dxa"/>
              <w:bottom w:w="120" w:type="dxa"/>
              <w:right w:w="120" w:type="dxa"/>
            </w:tcMar>
            <w:vAlign w:val="center"/>
          </w:tcPr>
          <w:p w14:paraId="7F966B2A">
            <w:pPr>
              <w:jc w:val="center"/>
            </w:pPr>
            <w:r>
              <w:rPr>
                <w:rFonts w:hint="eastAsia"/>
              </w:rPr>
              <w:t>所在院系</w:t>
            </w:r>
          </w:p>
        </w:tc>
        <w:tc>
          <w:tcPr>
            <w:tcW w:w="0" w:type="auto"/>
            <w:tcBorders>
              <w:top w:val="single" w:color="auto" w:sz="8" w:space="0"/>
              <w:left w:val="single" w:color="auto" w:sz="8" w:space="0"/>
              <w:bottom w:val="single" w:color="auto" w:sz="8" w:space="0"/>
              <w:right w:val="single" w:color="auto" w:sz="8" w:space="0"/>
            </w:tcBorders>
            <w:noWrap w:val="0"/>
            <w:tcMar>
              <w:top w:w="120" w:type="dxa"/>
              <w:left w:w="240" w:type="dxa"/>
              <w:bottom w:w="120" w:type="dxa"/>
              <w:right w:w="120" w:type="dxa"/>
            </w:tcMar>
            <w:vAlign w:val="center"/>
          </w:tcPr>
          <w:p w14:paraId="5CA9A3BA"/>
        </w:tc>
      </w:tr>
      <w:tr w14:paraId="35407BB4">
        <w:tblPrEx>
          <w:tblCellMar>
            <w:top w:w="15" w:type="dxa"/>
            <w:left w:w="15" w:type="dxa"/>
            <w:bottom w:w="15" w:type="dxa"/>
            <w:right w:w="15" w:type="dxa"/>
          </w:tblCellMar>
        </w:tblPrEx>
        <w:tc>
          <w:tcPr>
            <w:tcW w:w="1000" w:type="pct"/>
            <w:tcBorders>
              <w:top w:val="single" w:color="auto" w:sz="8" w:space="0"/>
              <w:left w:val="single" w:color="auto" w:sz="8" w:space="0"/>
              <w:bottom w:val="single" w:color="auto" w:sz="8" w:space="0"/>
              <w:right w:val="single" w:color="auto" w:sz="8" w:space="0"/>
            </w:tcBorders>
            <w:noWrap w:val="0"/>
            <w:tcMar>
              <w:top w:w="120" w:type="dxa"/>
              <w:left w:w="120" w:type="dxa"/>
              <w:bottom w:w="120" w:type="dxa"/>
              <w:right w:w="120" w:type="dxa"/>
            </w:tcMar>
            <w:vAlign w:val="center"/>
          </w:tcPr>
          <w:p w14:paraId="72557321">
            <w:pPr>
              <w:jc w:val="center"/>
            </w:pPr>
            <w:r>
              <w:rPr>
                <w:rFonts w:hint="eastAsia"/>
              </w:rPr>
              <w:t>学号</w:t>
            </w:r>
          </w:p>
        </w:tc>
        <w:tc>
          <w:tcPr>
            <w:tcW w:w="500" w:type="pct"/>
            <w:tcBorders>
              <w:top w:val="single" w:color="auto" w:sz="8" w:space="0"/>
              <w:left w:val="single" w:color="auto" w:sz="8" w:space="0"/>
              <w:bottom w:val="single" w:color="auto" w:sz="8" w:space="0"/>
              <w:right w:val="single" w:color="auto" w:sz="8" w:space="0"/>
            </w:tcBorders>
            <w:noWrap w:val="0"/>
            <w:tcMar>
              <w:top w:w="120" w:type="dxa"/>
              <w:left w:w="240" w:type="dxa"/>
              <w:bottom w:w="120" w:type="dxa"/>
              <w:right w:w="120" w:type="dxa"/>
            </w:tcMar>
            <w:vAlign w:val="center"/>
          </w:tcPr>
          <w:p w14:paraId="35DBDAE8"/>
        </w:tc>
        <w:tc>
          <w:tcPr>
            <w:tcW w:w="1000" w:type="pct"/>
            <w:tcBorders>
              <w:top w:val="single" w:color="auto" w:sz="8" w:space="0"/>
              <w:left w:val="single" w:color="auto" w:sz="8" w:space="0"/>
              <w:bottom w:val="single" w:color="auto" w:sz="8" w:space="0"/>
              <w:right w:val="single" w:color="auto" w:sz="8" w:space="0"/>
            </w:tcBorders>
            <w:noWrap w:val="0"/>
            <w:tcMar>
              <w:top w:w="120" w:type="dxa"/>
              <w:left w:w="120" w:type="dxa"/>
              <w:bottom w:w="120" w:type="dxa"/>
              <w:right w:w="120" w:type="dxa"/>
            </w:tcMar>
            <w:vAlign w:val="center"/>
          </w:tcPr>
          <w:p w14:paraId="455F7ED8">
            <w:pPr>
              <w:jc w:val="center"/>
            </w:pPr>
            <w:r>
              <w:rPr>
                <w:rFonts w:hint="eastAsia"/>
              </w:rPr>
              <w:t>专业</w:t>
            </w:r>
          </w:p>
        </w:tc>
        <w:tc>
          <w:tcPr>
            <w:tcW w:w="0" w:type="auto"/>
            <w:tcBorders>
              <w:top w:val="single" w:color="auto" w:sz="8" w:space="0"/>
              <w:left w:val="single" w:color="auto" w:sz="8" w:space="0"/>
              <w:bottom w:val="single" w:color="auto" w:sz="8" w:space="0"/>
              <w:right w:val="single" w:color="auto" w:sz="8" w:space="0"/>
            </w:tcBorders>
            <w:noWrap w:val="0"/>
            <w:tcMar>
              <w:top w:w="120" w:type="dxa"/>
              <w:left w:w="240" w:type="dxa"/>
              <w:bottom w:w="120" w:type="dxa"/>
              <w:right w:w="120" w:type="dxa"/>
            </w:tcMar>
            <w:vAlign w:val="center"/>
          </w:tcPr>
          <w:p w14:paraId="299C1A64"/>
        </w:tc>
      </w:tr>
      <w:tr w14:paraId="4B7574B4">
        <w:tblPrEx>
          <w:tblCellMar>
            <w:top w:w="15" w:type="dxa"/>
            <w:left w:w="15" w:type="dxa"/>
            <w:bottom w:w="15" w:type="dxa"/>
            <w:right w:w="15" w:type="dxa"/>
          </w:tblCellMar>
        </w:tblPrEx>
        <w:tc>
          <w:tcPr>
            <w:tcW w:w="1000" w:type="pct"/>
            <w:tcBorders>
              <w:top w:val="single" w:color="auto" w:sz="8" w:space="0"/>
              <w:left w:val="single" w:color="auto" w:sz="8" w:space="0"/>
              <w:bottom w:val="single" w:color="auto" w:sz="8" w:space="0"/>
              <w:right w:val="single" w:color="auto" w:sz="8" w:space="0"/>
            </w:tcBorders>
            <w:noWrap w:val="0"/>
            <w:tcMar>
              <w:top w:w="120" w:type="dxa"/>
              <w:left w:w="120" w:type="dxa"/>
              <w:bottom w:w="120" w:type="dxa"/>
              <w:right w:w="120" w:type="dxa"/>
            </w:tcMar>
            <w:vAlign w:val="center"/>
          </w:tcPr>
          <w:p w14:paraId="5E198EEC">
            <w:pPr>
              <w:jc w:val="center"/>
            </w:pPr>
            <w:r>
              <w:rPr>
                <w:rFonts w:hint="eastAsia"/>
              </w:rPr>
              <w:t>手机号</w:t>
            </w:r>
          </w:p>
        </w:tc>
        <w:tc>
          <w:tcPr>
            <w:tcW w:w="500" w:type="pct"/>
            <w:tcBorders>
              <w:top w:val="single" w:color="auto" w:sz="8" w:space="0"/>
              <w:left w:val="single" w:color="auto" w:sz="8" w:space="0"/>
              <w:bottom w:val="single" w:color="auto" w:sz="8" w:space="0"/>
              <w:right w:val="single" w:color="auto" w:sz="8" w:space="0"/>
            </w:tcBorders>
            <w:noWrap w:val="0"/>
            <w:tcMar>
              <w:top w:w="120" w:type="dxa"/>
              <w:left w:w="240" w:type="dxa"/>
              <w:bottom w:w="120" w:type="dxa"/>
              <w:right w:w="120" w:type="dxa"/>
            </w:tcMar>
            <w:vAlign w:val="center"/>
          </w:tcPr>
          <w:p w14:paraId="7725DDCA"/>
        </w:tc>
        <w:tc>
          <w:tcPr>
            <w:tcW w:w="1000" w:type="pct"/>
            <w:tcBorders>
              <w:top w:val="single" w:color="auto" w:sz="8" w:space="0"/>
              <w:left w:val="single" w:color="auto" w:sz="8" w:space="0"/>
              <w:bottom w:val="single" w:color="auto" w:sz="8" w:space="0"/>
              <w:right w:val="single" w:color="auto" w:sz="8" w:space="0"/>
            </w:tcBorders>
            <w:noWrap w:val="0"/>
            <w:tcMar>
              <w:top w:w="120" w:type="dxa"/>
              <w:left w:w="120" w:type="dxa"/>
              <w:bottom w:w="120" w:type="dxa"/>
              <w:right w:w="120" w:type="dxa"/>
            </w:tcMar>
            <w:vAlign w:val="center"/>
          </w:tcPr>
          <w:p w14:paraId="5AABC4AE">
            <w:pPr>
              <w:jc w:val="center"/>
            </w:pPr>
            <w:r>
              <w:rPr>
                <w:rFonts w:hint="eastAsia"/>
              </w:rPr>
              <w:t>邮箱</w:t>
            </w:r>
          </w:p>
        </w:tc>
        <w:tc>
          <w:tcPr>
            <w:tcW w:w="0" w:type="auto"/>
            <w:tcBorders>
              <w:top w:val="single" w:color="auto" w:sz="8" w:space="0"/>
              <w:left w:val="single" w:color="auto" w:sz="8" w:space="0"/>
              <w:bottom w:val="single" w:color="auto" w:sz="8" w:space="0"/>
              <w:right w:val="single" w:color="auto" w:sz="8" w:space="0"/>
            </w:tcBorders>
            <w:noWrap w:val="0"/>
            <w:tcMar>
              <w:top w:w="120" w:type="dxa"/>
              <w:left w:w="240" w:type="dxa"/>
              <w:bottom w:w="120" w:type="dxa"/>
              <w:right w:w="120" w:type="dxa"/>
            </w:tcMar>
            <w:vAlign w:val="center"/>
          </w:tcPr>
          <w:p w14:paraId="6A89BBB1"/>
        </w:tc>
      </w:tr>
      <w:tr w14:paraId="5920F52A">
        <w:tblPrEx>
          <w:tblCellMar>
            <w:top w:w="15" w:type="dxa"/>
            <w:left w:w="15" w:type="dxa"/>
            <w:bottom w:w="15" w:type="dxa"/>
            <w:right w:w="15" w:type="dxa"/>
          </w:tblCellMar>
        </w:tblPrEx>
        <w:tc>
          <w:tcPr>
            <w:tcW w:w="1000" w:type="pct"/>
            <w:tcBorders>
              <w:top w:val="single" w:color="auto" w:sz="8" w:space="0"/>
              <w:left w:val="single" w:color="auto" w:sz="8" w:space="0"/>
              <w:bottom w:val="single" w:color="auto" w:sz="8" w:space="0"/>
              <w:right w:val="single" w:color="auto" w:sz="8" w:space="0"/>
            </w:tcBorders>
            <w:noWrap w:val="0"/>
            <w:tcMar>
              <w:top w:w="120" w:type="dxa"/>
              <w:left w:w="120" w:type="dxa"/>
              <w:bottom w:w="120" w:type="dxa"/>
              <w:right w:w="120" w:type="dxa"/>
            </w:tcMar>
            <w:vAlign w:val="center"/>
          </w:tcPr>
          <w:p w14:paraId="2341DCD4">
            <w:pPr>
              <w:jc w:val="center"/>
            </w:pPr>
            <w:r>
              <w:rPr>
                <w:rFonts w:hint="eastAsia"/>
              </w:rPr>
              <w:t>指导老师</w:t>
            </w:r>
          </w:p>
        </w:tc>
        <w:tc>
          <w:tcPr>
            <w:tcW w:w="500" w:type="pct"/>
            <w:tcBorders>
              <w:top w:val="single" w:color="auto" w:sz="8" w:space="0"/>
              <w:left w:val="single" w:color="auto" w:sz="8" w:space="0"/>
              <w:bottom w:val="single" w:color="auto" w:sz="8" w:space="0"/>
              <w:right w:val="single" w:color="auto" w:sz="8" w:space="0"/>
            </w:tcBorders>
            <w:noWrap w:val="0"/>
            <w:tcMar>
              <w:top w:w="120" w:type="dxa"/>
              <w:left w:w="240" w:type="dxa"/>
              <w:bottom w:w="120" w:type="dxa"/>
              <w:right w:w="120" w:type="dxa"/>
            </w:tcMar>
            <w:vAlign w:val="center"/>
          </w:tcPr>
          <w:p w14:paraId="1EF92220"/>
        </w:tc>
        <w:tc>
          <w:tcPr>
            <w:tcW w:w="1000" w:type="pct"/>
            <w:tcBorders>
              <w:top w:val="single" w:color="auto" w:sz="8" w:space="0"/>
              <w:left w:val="single" w:color="auto" w:sz="8" w:space="0"/>
              <w:bottom w:val="single" w:color="auto" w:sz="8" w:space="0"/>
              <w:right w:val="single" w:color="auto" w:sz="8" w:space="0"/>
            </w:tcBorders>
            <w:noWrap w:val="0"/>
            <w:tcMar>
              <w:top w:w="120" w:type="dxa"/>
              <w:left w:w="120" w:type="dxa"/>
              <w:bottom w:w="120" w:type="dxa"/>
              <w:right w:w="120" w:type="dxa"/>
            </w:tcMar>
            <w:vAlign w:val="center"/>
          </w:tcPr>
          <w:p w14:paraId="0E1CC956">
            <w:pPr>
              <w:jc w:val="center"/>
            </w:pPr>
            <w:r>
              <w:rPr>
                <w:rFonts w:hint="eastAsia"/>
              </w:rPr>
              <w:t>所在院系</w:t>
            </w:r>
          </w:p>
        </w:tc>
        <w:tc>
          <w:tcPr>
            <w:tcW w:w="0" w:type="auto"/>
            <w:tcBorders>
              <w:top w:val="single" w:color="auto" w:sz="8" w:space="0"/>
              <w:left w:val="single" w:color="auto" w:sz="8" w:space="0"/>
              <w:bottom w:val="single" w:color="auto" w:sz="8" w:space="0"/>
              <w:right w:val="single" w:color="auto" w:sz="8" w:space="0"/>
            </w:tcBorders>
            <w:noWrap w:val="0"/>
            <w:tcMar>
              <w:top w:w="120" w:type="dxa"/>
              <w:left w:w="240" w:type="dxa"/>
              <w:bottom w:w="120" w:type="dxa"/>
              <w:right w:w="120" w:type="dxa"/>
            </w:tcMar>
            <w:vAlign w:val="center"/>
          </w:tcPr>
          <w:p w14:paraId="25BBDE61"/>
        </w:tc>
      </w:tr>
    </w:tbl>
    <w:p w14:paraId="7BC072E8">
      <w:pPr>
        <w:pStyle w:val="2"/>
        <w:keepNext/>
        <w:spacing w:line="600" w:lineRule="atLeast"/>
        <w:textAlignment w:val="center"/>
        <w:rPr>
          <w:rFonts w:hint="eastAsia" w:ascii="黑体" w:hAnsi="黑体" w:eastAsia="黑体"/>
          <w:b w:val="0"/>
          <w:bCs w:val="0"/>
          <w:sz w:val="28"/>
          <w:szCs w:val="28"/>
        </w:rPr>
      </w:pPr>
      <w:r>
        <w:rPr>
          <w:rFonts w:hint="eastAsia" w:ascii="黑体" w:hAnsi="黑体" w:eastAsia="黑体"/>
          <w:b w:val="0"/>
          <w:bCs w:val="0"/>
          <w:sz w:val="28"/>
          <w:szCs w:val="28"/>
        </w:rPr>
        <w:t xml:space="preserve">二、 结题报告内容 </w:t>
      </w:r>
    </w:p>
    <w:tbl>
      <w:tblPr>
        <w:tblStyle w:val="8"/>
        <w:tblW w:w="5000" w:type="pct"/>
        <w:tblInd w:w="0" w:type="dxa"/>
        <w:tblLayout w:type="autofit"/>
        <w:tblCellMar>
          <w:top w:w="15" w:type="dxa"/>
          <w:left w:w="15" w:type="dxa"/>
          <w:bottom w:w="15" w:type="dxa"/>
          <w:right w:w="15" w:type="dxa"/>
        </w:tblCellMar>
      </w:tblPr>
      <w:tblGrid>
        <w:gridCol w:w="9600"/>
      </w:tblGrid>
      <w:tr w14:paraId="16FDF1DA">
        <w:tblPrEx>
          <w:tblCellMar>
            <w:top w:w="15" w:type="dxa"/>
            <w:left w:w="15" w:type="dxa"/>
            <w:bottom w:w="15" w:type="dxa"/>
            <w:right w:w="15" w:type="dxa"/>
          </w:tblCellMar>
        </w:tblPrEx>
        <w:tc>
          <w:tcPr>
            <w:tcW w:w="0" w:type="auto"/>
            <w:tcBorders>
              <w:top w:val="single" w:color="auto" w:sz="8" w:space="0"/>
              <w:left w:val="single" w:color="auto" w:sz="8" w:space="0"/>
              <w:bottom w:val="single" w:color="auto" w:sz="8" w:space="0"/>
              <w:right w:val="single" w:color="auto" w:sz="8" w:space="0"/>
            </w:tcBorders>
            <w:noWrap w:val="0"/>
            <w:tcMar>
              <w:top w:w="120" w:type="dxa"/>
              <w:left w:w="120" w:type="dxa"/>
              <w:bottom w:w="120" w:type="dxa"/>
              <w:right w:w="120" w:type="dxa"/>
            </w:tcMar>
            <w:vAlign w:val="center"/>
          </w:tcPr>
          <w:p w14:paraId="42294104">
            <w:pPr>
              <w:pStyle w:val="2"/>
              <w:spacing w:before="120" w:beforeAutospacing="0" w:after="120" w:afterAutospacing="0" w:line="400" w:lineRule="atLeast"/>
              <w:ind w:firstLine="480"/>
              <w:textAlignment w:val="center"/>
            </w:pPr>
            <w:r>
              <w:rPr>
                <w:rFonts w:hint="eastAsia"/>
              </w:rPr>
              <w:t xml:space="preserve">1）项目成员基本情况（人数、院系、专业、年级）； 指导教师基本情况（职称、专业领域） </w:t>
            </w:r>
          </w:p>
          <w:p w14:paraId="567D9B41">
            <w:pPr>
              <w:pStyle w:val="3"/>
              <w:spacing w:before="60" w:beforeAutospacing="0" w:after="60" w:afterAutospacing="0" w:line="480" w:lineRule="atLeast"/>
              <w:ind w:firstLine="480"/>
              <w:rPr>
                <w:rFonts w:hint="eastAsia" w:ascii="仿宋" w:hAnsi="仿宋" w:eastAsia="仿宋"/>
                <w:sz w:val="24"/>
                <w:szCs w:val="24"/>
              </w:rPr>
            </w:pPr>
            <w:r>
              <w:rPr>
                <w:rFonts w:hint="eastAsia" w:ascii="仿宋" w:hAnsi="仿宋" w:eastAsia="仿宋"/>
                <w:sz w:val="24"/>
                <w:szCs w:val="24"/>
              </w:rPr>
              <w:t xml:space="preserve">项目成员基本情况： </w:t>
            </w:r>
          </w:p>
          <w:p w14:paraId="149FA673">
            <w:pPr>
              <w:pStyle w:val="3"/>
              <w:spacing w:before="60" w:beforeAutospacing="0" w:after="60" w:afterAutospacing="0" w:line="480" w:lineRule="atLeast"/>
              <w:ind w:firstLine="480"/>
              <w:rPr>
                <w:rFonts w:hint="eastAsia" w:ascii="仿宋" w:hAnsi="仿宋" w:eastAsia="仿宋"/>
                <w:sz w:val="24"/>
                <w:szCs w:val="24"/>
              </w:rPr>
            </w:pPr>
          </w:p>
          <w:p w14:paraId="08050652">
            <w:pPr>
              <w:pStyle w:val="3"/>
              <w:spacing w:before="60" w:beforeAutospacing="0" w:after="60" w:afterAutospacing="0" w:line="480" w:lineRule="atLeast"/>
              <w:ind w:firstLine="480"/>
              <w:rPr>
                <w:rFonts w:hint="eastAsia" w:ascii="仿宋" w:hAnsi="仿宋" w:eastAsia="仿宋"/>
                <w:sz w:val="24"/>
                <w:szCs w:val="24"/>
              </w:rPr>
            </w:pPr>
            <w:r>
              <w:rPr>
                <w:rFonts w:hint="eastAsia" w:ascii="仿宋" w:hAnsi="仿宋" w:eastAsia="仿宋"/>
                <w:sz w:val="24"/>
                <w:szCs w:val="24"/>
              </w:rPr>
              <w:t xml:space="preserve">指导教师基本情况： </w:t>
            </w:r>
            <w:bookmarkStart w:id="0" w:name="_GoBack"/>
            <w:bookmarkEnd w:id="0"/>
          </w:p>
          <w:p w14:paraId="4411A6E9">
            <w:pPr>
              <w:pStyle w:val="3"/>
              <w:spacing w:before="60" w:beforeAutospacing="0" w:after="60" w:afterAutospacing="0" w:line="480" w:lineRule="atLeast"/>
              <w:ind w:firstLine="480"/>
              <w:rPr>
                <w:rFonts w:hint="eastAsia" w:ascii="仿宋" w:hAnsi="仿宋" w:eastAsia="仿宋"/>
                <w:sz w:val="24"/>
                <w:szCs w:val="24"/>
              </w:rPr>
            </w:pPr>
          </w:p>
          <w:p w14:paraId="33AD1F3B">
            <w:pPr>
              <w:pStyle w:val="2"/>
              <w:spacing w:before="120" w:beforeAutospacing="0" w:after="120" w:afterAutospacing="0" w:line="400" w:lineRule="atLeast"/>
              <w:ind w:firstLine="480"/>
              <w:textAlignment w:val="center"/>
              <w:rPr>
                <w:rFonts w:hint="eastAsia"/>
              </w:rPr>
            </w:pPr>
            <w:r>
              <w:rPr>
                <w:rFonts w:hint="eastAsia"/>
              </w:rPr>
              <w:t xml:space="preserve">2）项目执行情况 </w:t>
            </w:r>
          </w:p>
          <w:p w14:paraId="56B1612A">
            <w:pPr>
              <w:pStyle w:val="3"/>
              <w:spacing w:before="60" w:beforeAutospacing="0" w:after="60" w:afterAutospacing="0" w:line="480" w:lineRule="atLeast"/>
              <w:ind w:firstLine="480"/>
              <w:rPr>
                <w:b w:val="0"/>
                <w:bCs w:val="0"/>
                <w:sz w:val="24"/>
                <w:szCs w:val="24"/>
              </w:rPr>
            </w:pPr>
            <w:r>
              <w:rPr>
                <w:rFonts w:hint="eastAsia" w:ascii="仿宋" w:hAnsi="仿宋" w:eastAsia="仿宋"/>
                <w:sz w:val="24"/>
                <w:szCs w:val="24"/>
              </w:rPr>
              <w:t xml:space="preserve">本项目的选题背景、目的与意义： </w:t>
            </w:r>
            <w:r>
              <w:rPr>
                <w:rFonts w:hint="eastAsia"/>
                <w:b w:val="0"/>
                <w:bCs w:val="0"/>
                <w:sz w:val="24"/>
                <w:szCs w:val="24"/>
              </w:rPr>
              <w:t>油菜是一种含有丰富植物油以及植物蛋白的高质量农产品，是我国重要的油料作物，在我国的食用油供给链中有无法替代的作用。油菜的产油量占我国食用植物油的40%以上，但我国食用植物油自给率不足35%，所以，发展绿色优质高效油菜产业，保障我国食用油安全尤为重要，对此，提高油菜的亩产以及扩大油菜的种植面积具有十分重要的意义。我国油菜的种植区主要集中在长江流域，其中江苏、浙江、湖南等地区作为中国油菜籽的主产区，常年种植面积及产量占全国的20%-30%，但近几年受其他作物的收获期及经济因素影响，油菜的种植面积下降较大。</w:t>
            </w:r>
          </w:p>
          <w:p w14:paraId="716265CB">
            <w:pPr>
              <w:pStyle w:val="3"/>
              <w:spacing w:before="60" w:beforeAutospacing="0" w:after="60" w:afterAutospacing="0" w:line="480" w:lineRule="atLeast"/>
              <w:ind w:firstLine="480"/>
              <w:rPr>
                <w:b w:val="0"/>
                <w:bCs w:val="0"/>
                <w:sz w:val="24"/>
                <w:szCs w:val="24"/>
              </w:rPr>
            </w:pPr>
            <w:r>
              <w:rPr>
                <w:rFonts w:hint="eastAsia"/>
                <w:b w:val="0"/>
                <w:bCs w:val="0"/>
                <w:sz w:val="24"/>
                <w:szCs w:val="24"/>
              </w:rPr>
              <w:t>一种可以有效提高油菜竞争力从而增加油菜种植面积的方法是研究不同油菜的表型参数，将表型与相应的品种基因进行关联分析，进而筛选出优良的油菜基因，达到减少油菜种植成本的同时提高油菜经济效益的目的。叶片作为植物光合作用和蒸腾作用的主要器官，其有效面积对作物的生长发育、抗逆性、以及产量都具有较大的影响，在遗传育种、作物栽培等方面的研究中都是被考虑的首要因素。因此，获取包括但不限于油菜叶片面积的叶片表型护具对筛选并获取高收益的油菜具有重要作用。</w:t>
            </w:r>
          </w:p>
          <w:p w14:paraId="639556CD">
            <w:pPr>
              <w:pStyle w:val="3"/>
              <w:spacing w:before="60" w:beforeAutospacing="0" w:after="60" w:afterAutospacing="0" w:line="480" w:lineRule="atLeast"/>
              <w:ind w:firstLine="480"/>
              <w:rPr>
                <w:b w:val="0"/>
                <w:bCs w:val="0"/>
                <w:sz w:val="24"/>
                <w:szCs w:val="24"/>
              </w:rPr>
            </w:pPr>
            <w:r>
              <w:rPr>
                <w:rFonts w:hint="eastAsia"/>
                <w:b w:val="0"/>
                <w:bCs w:val="0"/>
                <w:sz w:val="24"/>
                <w:szCs w:val="24"/>
              </w:rPr>
              <w:t>植物的表型的定义可以理解为某个基因型作物在特定生长环境下表现出来的一系列与物候、结构、生理生化及与深爱还能性能相关的性质，是由基因型、环境因子以及二者之间相互作用的结果，根据中华人民共和国甘蓝型油菜的《植物品种特异性、一致性和稳定性测试指南》，油菜的叶片表型叶长宽、叶柄长度、叶片颜色、裂叶及其数量、叶片卷曲程度等、而对有油菜角果而言，主要表型有果喙、果柄、果身等。</w:t>
            </w:r>
          </w:p>
          <w:p w14:paraId="51BDF277">
            <w:pPr>
              <w:pStyle w:val="3"/>
              <w:spacing w:before="60" w:beforeAutospacing="0" w:after="60" w:afterAutospacing="0" w:line="480" w:lineRule="atLeast"/>
              <w:ind w:firstLine="480"/>
              <w:rPr>
                <w:b w:val="0"/>
                <w:bCs w:val="0"/>
                <w:sz w:val="24"/>
                <w:szCs w:val="24"/>
              </w:rPr>
            </w:pPr>
            <w:r>
              <w:rPr>
                <w:rFonts w:hint="eastAsia"/>
                <w:b w:val="0"/>
                <w:bCs w:val="0"/>
                <w:sz w:val="24"/>
                <w:szCs w:val="24"/>
              </w:rPr>
              <w:t>目前常用的传统作物表型测量方法有目测法和手工测量法、对于油菜的叶片表型测量而言，目测法主要用于获取叶片的研策、裂片以及数量、卷曲程度等。但目测法依赖于测量人员的经验以及身体状况，估值过程主观性过强，误差较大。手工测量法一般用于测量叶片长度、宽度、叶柄长度以及角果的三段长度等。</w:t>
            </w:r>
          </w:p>
          <w:p w14:paraId="002D2BDA">
            <w:pPr>
              <w:pStyle w:val="3"/>
              <w:spacing w:before="60" w:beforeAutospacing="0" w:after="60" w:afterAutospacing="0" w:line="480" w:lineRule="atLeast"/>
              <w:ind w:firstLine="480"/>
              <w:rPr>
                <w:rFonts w:hint="eastAsia"/>
                <w:b w:val="0"/>
                <w:bCs w:val="0"/>
                <w:sz w:val="24"/>
                <w:szCs w:val="24"/>
              </w:rPr>
            </w:pPr>
            <w:r>
              <w:rPr>
                <w:rFonts w:hint="eastAsia"/>
                <w:b w:val="0"/>
                <w:bCs w:val="0"/>
                <w:sz w:val="24"/>
                <w:szCs w:val="24"/>
              </w:rPr>
              <w:t>现阶段有关作物表型参数的自动测量虽然取得了较为丰硕的研究成果，但对于油菜表型参数的自动测量研究，仍存在很多待解决的问题，油菜表型的测量大都依靠人工完成，但人工测量精确度低且浪费时间、精力，并且手工测量容易受测量尺以及外界环境的影响，测量的精确度很大程度上受测量人员的主观因素所影响。此外，研究人员要在油菜的生长过程中的各个环节上测量油菜的表型以进行监控，无疑增加的人力成本，这导致了传统的表型测量方法有低效、昂贵、成本高的缺点。</w:t>
            </w:r>
          </w:p>
          <w:p w14:paraId="0E509B05">
            <w:pPr>
              <w:pStyle w:val="3"/>
              <w:spacing w:before="60" w:beforeAutospacing="0" w:after="60" w:afterAutospacing="0" w:line="480" w:lineRule="atLeast"/>
              <w:ind w:firstLine="480"/>
              <w:rPr>
                <w:rFonts w:hint="eastAsia"/>
                <w:b w:val="0"/>
                <w:bCs w:val="0"/>
                <w:sz w:val="24"/>
                <w:szCs w:val="24"/>
              </w:rPr>
            </w:pPr>
            <w:r>
              <w:rPr>
                <w:rFonts w:hint="eastAsia"/>
                <w:b w:val="0"/>
                <w:bCs w:val="0"/>
                <w:sz w:val="24"/>
                <w:szCs w:val="24"/>
              </w:rPr>
              <w:t>近年来，随着计算机技术的快速发展，图像采集、处理的速度和技术都有较大的提升，计算机视觉技术开始应用于各个领域，基于此，本项目将使用图像处理技术、机器学习、深度学习等方法获取油菜的叶片表型参数，为筛选和培育高质量的油菜种型提供理论依据。</w:t>
            </w:r>
          </w:p>
          <w:p w14:paraId="286B285C">
            <w:pPr>
              <w:pStyle w:val="3"/>
              <w:spacing w:before="60" w:beforeAutospacing="0" w:after="60" w:afterAutospacing="0" w:line="480" w:lineRule="atLeast"/>
              <w:ind w:firstLine="480"/>
              <w:rPr>
                <w:b w:val="0"/>
                <w:bCs w:val="0"/>
                <w:sz w:val="24"/>
                <w:szCs w:val="24"/>
              </w:rPr>
            </w:pPr>
            <w:r>
              <w:rPr>
                <w:rFonts w:hint="eastAsia"/>
                <w:b w:val="0"/>
                <w:bCs w:val="0"/>
                <w:sz w:val="24"/>
                <w:szCs w:val="24"/>
              </w:rPr>
              <w:t>棉花作为我国重要的经济作物之一，在我国的纺织工业中具有不可替代的作用，我国的棉花自给率已经达到了80%，但仍可以进行优化，进一步提高棉花的自给率。</w:t>
            </w:r>
            <w:r>
              <w:rPr>
                <w:b w:val="0"/>
                <w:bCs w:val="0"/>
                <w:sz w:val="24"/>
                <w:szCs w:val="24"/>
              </w:rPr>
              <w:t>我国棉花的种植区主要集中在新疆、黄河流域和长江流域，其中新疆作为中国棉花的主产区，常年种植面积及产量占全国的80%以上，是我国最重要的棉花生产基地。新疆棉花以其优质长绒棉闻名，单产水平位居世界前列。黄河流域的山东、河南、河北等省份以及长江流域的湖北、安徽、江苏等地也是传统的棉花种植区，但种植规模相对较小。近年来，受种植效益、水资源约束及政策调整等因素影响，内地棉区的种植面积持续缩减。</w:t>
            </w:r>
          </w:p>
          <w:p w14:paraId="1F7BA549">
            <w:pPr>
              <w:pStyle w:val="3"/>
              <w:spacing w:before="60" w:beforeAutospacing="0" w:after="60" w:afterAutospacing="0" w:line="480" w:lineRule="atLeast"/>
              <w:ind w:firstLine="480"/>
              <w:rPr>
                <w:b w:val="0"/>
                <w:bCs w:val="0"/>
                <w:sz w:val="24"/>
                <w:szCs w:val="24"/>
              </w:rPr>
            </w:pPr>
            <w:r>
              <w:rPr>
                <w:rFonts w:hint="eastAsia"/>
                <w:b w:val="0"/>
                <w:bCs w:val="0"/>
                <w:sz w:val="24"/>
                <w:szCs w:val="24"/>
              </w:rPr>
              <w:t>可以通过研究不同棉花的表型参数，将其与品种的相关基因进行关联分析，进而筛选出优良的棉花基因，使得棉花的种植成本降低同时经济效益提高进而提高棉花的竞争力，间接增加棉花的种植面积。棉花的叶片形态特征是反映植株生长状况、诊断病虫害和识别品种的关键指标。在棉花育种、栽培管理和生理研究中，叶片面积、长度、宽度等几何参数的精确测量具有极其重要的科学价值和应用意义。然而，当前棉花叶片测量领域仍面临诸多挑战和技术瓶颈。</w:t>
            </w:r>
          </w:p>
          <w:p w14:paraId="523FC484">
            <w:pPr>
              <w:pStyle w:val="3"/>
              <w:spacing w:before="60" w:beforeAutospacing="0" w:after="60" w:afterAutospacing="0" w:line="480" w:lineRule="atLeast"/>
              <w:ind w:firstLine="480"/>
              <w:rPr>
                <w:b w:val="0"/>
                <w:bCs w:val="0"/>
                <w:sz w:val="24"/>
                <w:szCs w:val="24"/>
              </w:rPr>
            </w:pPr>
            <w:r>
              <w:rPr>
                <w:rFonts w:hint="eastAsia"/>
                <w:b w:val="0"/>
                <w:bCs w:val="0"/>
                <w:sz w:val="24"/>
                <w:szCs w:val="24"/>
              </w:rPr>
              <w:t>目前广泛采用的目测法和手工测量法不仅效率低下，而且测量结果受主观因素影响大。一个熟练的技术人员每天仅能测量数十片叶片，不同操作者对同一叶片长度的测量误差可达±15%，面积估算误差甚至超过20%。这种测量精度难以满足现代精准农业和遗传育种研究的需求。</w:t>
            </w:r>
          </w:p>
          <w:p w14:paraId="3CFC88A2">
            <w:pPr>
              <w:pStyle w:val="3"/>
              <w:spacing w:before="60" w:beforeAutospacing="0" w:after="60" w:afterAutospacing="0" w:line="480" w:lineRule="atLeast"/>
              <w:ind w:firstLine="480"/>
              <w:rPr>
                <w:b w:val="0"/>
                <w:bCs w:val="0"/>
                <w:sz w:val="24"/>
                <w:szCs w:val="24"/>
              </w:rPr>
            </w:pPr>
            <w:r>
              <w:rPr>
                <w:rFonts w:hint="eastAsia"/>
                <w:b w:val="0"/>
                <w:bCs w:val="0"/>
                <w:sz w:val="24"/>
                <w:szCs w:val="24"/>
              </w:rPr>
              <w:t>而现有自动化测量设备存在成本高、适应性差的问题。虽然市场上已有一些专业的植物表型测量仪器，如激光扫描仪和三维成像系统，但这些设备价格昂贵（单台设备通常在数十万元以上），且对使用环境要求严格，难以在田间条件下广泛应用。更重要的是，这些设备通常需要专业的操作人员，限制了其在基层农业科研单位和种植大户中的普及。</w:t>
            </w:r>
          </w:p>
          <w:p w14:paraId="5068F95B">
            <w:pPr>
              <w:pStyle w:val="3"/>
              <w:spacing w:before="60" w:beforeAutospacing="0" w:after="60" w:afterAutospacing="0" w:line="480" w:lineRule="atLeast"/>
              <w:ind w:firstLine="480"/>
              <w:rPr>
                <w:b w:val="0"/>
                <w:bCs w:val="0"/>
                <w:sz w:val="24"/>
                <w:szCs w:val="24"/>
              </w:rPr>
            </w:pPr>
            <w:r>
              <w:rPr>
                <w:rFonts w:hint="eastAsia"/>
                <w:b w:val="0"/>
                <w:bCs w:val="0"/>
                <w:sz w:val="24"/>
                <w:szCs w:val="24"/>
              </w:rPr>
              <w:t>其次，棉花叶片本身的形态复杂性给自动化测量带来技术挑战。棉花叶片通常呈现掌状分裂特征，边缘具有不规则锯齿，且存在不同程度的卷曲和重叠现象。在自然生长状态下，叶片空间分布密集，相互遮挡严重。这些特点使得传统图像处理方法难以准确分割和测量单个叶片。</w:t>
            </w:r>
          </w:p>
          <w:p w14:paraId="75CD987A">
            <w:pPr>
              <w:pStyle w:val="3"/>
              <w:spacing w:before="60" w:beforeAutospacing="0" w:after="60" w:afterAutospacing="0" w:line="480" w:lineRule="atLeast"/>
              <w:ind w:firstLine="480"/>
              <w:rPr>
                <w:rFonts w:hint="eastAsia" w:ascii="仿宋" w:hAnsi="仿宋" w:eastAsia="仿宋"/>
                <w:sz w:val="24"/>
                <w:szCs w:val="24"/>
              </w:rPr>
            </w:pPr>
            <w:r>
              <w:rPr>
                <w:rFonts w:hint="eastAsia"/>
                <w:b w:val="0"/>
                <w:bCs w:val="0"/>
                <w:sz w:val="24"/>
                <w:szCs w:val="24"/>
              </w:rPr>
              <w:t>本研究立足于计算机图像采集、处理技术，计算机视觉技术以及深度学习、机器学习等方法获取棉花的叶片表型参数，为筛选和培育更高质量的棉花种型提供理论依据</w:t>
            </w:r>
          </w:p>
          <w:p w14:paraId="0F2D65E3">
            <w:pPr>
              <w:pStyle w:val="3"/>
              <w:spacing w:before="60" w:beforeAutospacing="0" w:after="60" w:afterAutospacing="0" w:line="480" w:lineRule="atLeast"/>
              <w:ind w:firstLine="480"/>
              <w:rPr>
                <w:rFonts w:hint="eastAsia" w:ascii="宋体" w:hAnsi="宋体" w:eastAsia="宋体" w:cs="宋体"/>
                <w:b w:val="0"/>
                <w:bCs w:val="0"/>
                <w:sz w:val="24"/>
                <w:szCs w:val="24"/>
              </w:rPr>
            </w:pPr>
            <w:r>
              <w:rPr>
                <w:rFonts w:hint="eastAsia" w:ascii="仿宋" w:hAnsi="仿宋" w:eastAsia="仿宋"/>
                <w:sz w:val="24"/>
                <w:szCs w:val="24"/>
              </w:rPr>
              <w:t>项目的创新点与特色：</w:t>
            </w:r>
            <w:r>
              <w:rPr>
                <w:rFonts w:hint="eastAsia" w:ascii="宋体" w:hAnsi="宋体" w:eastAsia="宋体" w:cs="宋体"/>
                <w:b w:val="0"/>
                <w:bCs w:val="0"/>
                <w:sz w:val="24"/>
                <w:szCs w:val="24"/>
              </w:rPr>
              <w:t>本项目团队秉持着创新精神和集中化思维，对项目中的各个子项和关键实验步骤进行了大量大胆创新和仔细求证，其中主要的有如下七点：</w:t>
            </w:r>
          </w:p>
          <w:p w14:paraId="678CD97E">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一、深度学习与图像处理技术的深度融合</w:t>
            </w:r>
          </w:p>
          <w:p w14:paraId="37398339">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本研究突破性地将深度学习中的目标检测技术与传统图像处理方法相结合，采用 Yolox 目标检测模型精准提取油菜叶的各个关键部位，如叶柄、叶片以及裂叶等。这一方法不仅能够有效应对油菜叶形状不规则、叶片之间存在重叠等问题，还通过图像校正算法对提取部位进行精确校正，从而获取到准确的长宽参数。此外，研究进一步通过单目测距技术将像素单位的长宽数据转换为实际的厘米单位，实现了从图像像素到物理尺寸的高效转换，为油菜叶表型参数的自动化测量开辟了新的技术路径。</w:t>
            </w:r>
          </w:p>
          <w:p w14:paraId="57CBE67E">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这种融合方式充分发挥了深度学习模型在复杂图像识别中的强大能力和图像处理技术在精确测量中的优势，相较于传统测量方法，不仅提高了测量效率，还显著提升了测量精度，能够为油菜叶表型参数的自动化测量提供更为可靠的技术支持。</w:t>
            </w:r>
          </w:p>
          <w:p w14:paraId="3154B371">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二、自监督学习解决数据不平衡问题</w:t>
            </w:r>
          </w:p>
          <w:p w14:paraId="73F3A036">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针对卷叶识别任务中数据集样本数量少且分布严重不平衡的问题，本研究创新性地引入了旋转自监督学习方法。通过该方法对 ResNet32 模型进行预训练，使模型能够在缺乏大量标注数据的情况下，自主学习到图像的内在特征和结构信息。在此基础上，再进行标准训练，显著提高了模型对卷叶和非卷叶的分类精度以及泛化能力，有效解决了传统方法因数据不平衡导致的分类性能差的问题。</w:t>
            </w:r>
          </w:p>
          <w:p w14:paraId="60C99E19">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自监督学习方法的应用不仅为解决数据不平衡问题提供了一种全新的思路，还使得模型能够在有限的数据条件下，更好地适应不同类型的油菜叶图像，提高了模型的鲁棒性和实用性。这种预训练与标准训练相结合的方式，为卷叶识别任务提供了一种高效且有效的解决方案，具有重要的理论和实践意义。</w:t>
            </w:r>
          </w:p>
          <w:p w14:paraId="72E8A55E">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三、叶缘缺刻程度的特征提取与分类</w:t>
            </w:r>
          </w:p>
          <w:p w14:paraId="1134A2B8">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在叶缘缺刻程度识别方面，本研究提出了一种基于多边形拟合叶缘轮廓的特征提取方法。通过对叶缘轮廓进行多边形拟合，计算相邻顶点与水平轴的夹角，并提取中间 10 个弧度值作为特征向量，再结合 SVM 分类器进行分类。这一方法能够准确地识别出叶缘缺刻程度，填补了该领域在自动化识别方面的研究空白。</w:t>
            </w:r>
          </w:p>
          <w:p w14:paraId="4E64B3A8">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该方法充分利用了油菜叶叶缘的形态学特征，通过简单的几何计算提取出具有代表性的特征向量，结合 SVM 分类器实现了对叶缘缺刻程度的高效分类。这种方法不仅具有较高的分类精度，而且计算过程简单、高效，易于实现，为油菜叶表型参数的自动化测量提供了新的技术手段，也为其他植物叶片特征识别研究提供了有益的借鉴。</w:t>
            </w:r>
          </w:p>
          <w:p w14:paraId="1F5E7070">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四、模型部署与系统开发</w:t>
            </w:r>
          </w:p>
          <w:p w14:paraId="44385539">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本研究将 Yolox 模型和 ResNet32 模型转化为 ONNX 格式，利用其高效的推理性能，结合 Flask 后端和 Bootstrap 前端开发了 WEB 系统，实现了油菜叶表型参数的自动化测量和数据交互。通过 ONNX 模型部署，显著提高了模型的推理速度，使得系统能够快速响应用户请求，极大地提升了用户体验。</w:t>
            </w:r>
          </w:p>
          <w:p w14:paraId="2504B971">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这种系统开发方式不仅实现了油菜叶表型参数测量的自动化和智能化，还通过友好的用户界面和高效的数据处理能力，为研究人员提供了一个便捷、高效的工具。研究人员可以通过该系统快速上传油菜叶图像，获取表型参数测量结果，并进行数据导出和进一步分析，极大地提高了研究效率，具有广泛的应用前景。</w:t>
            </w:r>
          </w:p>
          <w:p w14:paraId="73023D91">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五、数据增强与预处理方法的改进</w:t>
            </w:r>
          </w:p>
          <w:p w14:paraId="3454C82C">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在数据增强和预处理阶段，本研究提出了一种新的图像裁剪和填充方法。该方法通过对图像进行等比例缩放、填充背景颜色等操作，避免了传统方法中因随机裁剪导致的背景信息过多或图像扭曲的问题。这种改进的预处理方法能够更好地保留油菜叶的主要特征，提高了模型的训练效果。</w:t>
            </w:r>
          </w:p>
          <w:p w14:paraId="6583986B">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这种改进的预处理方法不仅能够提高模型对油菜叶图像的识别能力，还能够在一定程度上增强模型的鲁棒性。通过避免背景信息的干扰和图像扭曲，模型能够更加专注于油菜叶的特征学习，从而提高分类精度和泛化能力。这种预处理方法的改进为油菜叶表型参数测量的自动化提供了更加可靠的数据基础。</w:t>
            </w:r>
          </w:p>
          <w:p w14:paraId="6BB135CE">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六、综合应用多种技术解决实际问题</w:t>
            </w:r>
          </w:p>
          <w:p w14:paraId="66F5CF10">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本研究综合应用了目标检测、自监督学习、图像分割、特征提取、机器学习和模型部署等多种技术，形成了一套完整的解决方案，能够自动化地提取油菜叶的多种表型参数。这种综合应用方式不仅涵盖了从图像采集到参数测量的全过程，还通过多种技术的协同作用，实现了对油菜叶表型参数的高效、准确测量。</w:t>
            </w:r>
          </w:p>
          <w:p w14:paraId="642CB0C6">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这种综合应用方式充分发挥了各种技术的优势，形成了一种互补的技术体系。通过目标检测技术精准定位油菜叶的各个部位，结合图像分割和特征提取技术获取关键信息，再利用机器学习和模型部署技术实现自动化测量和数据交互，为植物表型参数的自动化测量提供了一个可扩展的框架。这种综合应用方式不仅具有较高的技术含量，还具有很强的实用性和可扩展性，能够为农业生产和科研提供有力的技术支持。</w:t>
            </w:r>
          </w:p>
          <w:p w14:paraId="7F742A93">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七、实验验证与实际应用</w:t>
            </w:r>
          </w:p>
          <w:p w14:paraId="3B1256FD">
            <w:pPr>
              <w:pStyle w:val="3"/>
              <w:spacing w:before="60" w:after="6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本研究通过大量的实验验证了所提出方法的有效性。实验涵盖了不同生长时期和不同性状的油菜叶，通过与实际测量值进行对比分析，证明了所提出方法的可行性和准确性。实验结果表明，所提出的方法在实际应用中具有较高的精度和稳定性，能够满足农业生产和科研的实际需求。</w:t>
            </w:r>
          </w:p>
          <w:p w14:paraId="32634C59">
            <w:pPr>
              <w:pStyle w:val="3"/>
              <w:spacing w:before="60" w:beforeAutospacing="0" w:after="60" w:afterAutospacing="0" w:line="480" w:lineRule="atLeast"/>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这种实验验证方式不仅为所提出方法的可靠性提供了有力的证据，还通过实际应用展示了其在农业领域的广阔应用前景。通过在不同条件下的实验验证，本研究证明了所提出方法的鲁棒性和适应性，为油菜叶表型参数的自动化测量提供了一种可靠的解决方案。这种实验验证和实际应用相结合的方式，使得研究成果更具说服力和实用性，能够为农业生产和科研提供重要的参考依据。</w:t>
            </w:r>
          </w:p>
          <w:p w14:paraId="383451B9">
            <w:pPr>
              <w:pStyle w:val="3"/>
              <w:spacing w:before="60" w:beforeAutospacing="0" w:after="60" w:afterAutospacing="0" w:line="480" w:lineRule="atLeast"/>
              <w:ind w:firstLine="480"/>
              <w:rPr>
                <w:rFonts w:hint="eastAsia" w:ascii="仿宋" w:hAnsi="仿宋" w:eastAsia="仿宋"/>
                <w:sz w:val="24"/>
                <w:szCs w:val="24"/>
              </w:rPr>
            </w:pPr>
            <w:r>
              <w:rPr>
                <w:rFonts w:hint="eastAsia" w:ascii="仿宋" w:hAnsi="仿宋" w:eastAsia="仿宋"/>
                <w:sz w:val="24"/>
                <w:szCs w:val="24"/>
              </w:rPr>
              <w:t xml:space="preserve"> </w:t>
            </w:r>
          </w:p>
          <w:p w14:paraId="0883DFC7">
            <w:pPr>
              <w:pStyle w:val="3"/>
              <w:spacing w:before="60" w:beforeAutospacing="0" w:after="60" w:afterAutospacing="0"/>
              <w:ind w:firstLine="480"/>
              <w:rPr>
                <w:b w:val="0"/>
                <w:bCs w:val="0"/>
                <w:sz w:val="24"/>
                <w:szCs w:val="24"/>
              </w:rPr>
            </w:pPr>
            <w:r>
              <w:rPr>
                <w:rFonts w:hint="eastAsia"/>
                <w:b w:val="0"/>
                <w:bCs w:val="0"/>
                <w:sz w:val="24"/>
                <w:szCs w:val="24"/>
              </w:rPr>
              <w:t>本项目做出有若干创新点，其中主要创新点有：</w:t>
            </w:r>
          </w:p>
          <w:p w14:paraId="40A9D4DC">
            <w:pPr>
              <w:pStyle w:val="3"/>
              <w:spacing w:before="60" w:beforeAutospacing="0" w:after="60" w:afterAutospacing="0"/>
              <w:ind w:firstLine="482"/>
              <w:rPr>
                <w:rFonts w:hint="eastAsia"/>
                <w:b w:val="0"/>
                <w:bCs w:val="0"/>
                <w:sz w:val="24"/>
                <w:szCs w:val="24"/>
              </w:rPr>
            </w:pPr>
            <w:r>
              <w:rPr>
                <w:rFonts w:hint="eastAsia"/>
                <w:b w:val="0"/>
                <w:bCs w:val="0"/>
                <w:sz w:val="24"/>
                <w:szCs w:val="24"/>
              </w:rPr>
              <w:t>1.单次比例尺标定技术：</w:t>
            </w:r>
          </w:p>
          <w:p w14:paraId="07D3A724">
            <w:pPr>
              <w:pStyle w:val="3"/>
              <w:spacing w:before="60" w:beforeAutospacing="0" w:after="60" w:afterAutospacing="0"/>
              <w:ind w:firstLine="482"/>
              <w:rPr>
                <w:rFonts w:hint="eastAsia"/>
                <w:b w:val="0"/>
                <w:bCs w:val="0"/>
                <w:sz w:val="24"/>
                <w:szCs w:val="24"/>
              </w:rPr>
            </w:pPr>
            <w:r>
              <w:rPr>
                <w:rFonts w:hint="eastAsia"/>
                <w:b w:val="0"/>
                <w:bCs w:val="0"/>
                <w:sz w:val="24"/>
                <w:szCs w:val="24"/>
              </w:rPr>
              <w:t>避免了传统测量方法中每次测量都需要重新标定的繁琐操作，极大地提高了测量效率，节省了时间和人力成本。通过在训练阶段使用带有参考标尺的图像设定比例关系，实现了比例尺的复用，确保了多次测量的一致性和准确性。</w:t>
            </w:r>
          </w:p>
          <w:p w14:paraId="7057DF96">
            <w:pPr>
              <w:pStyle w:val="3"/>
              <w:spacing w:before="60" w:beforeAutospacing="0" w:after="60" w:afterAutospacing="0"/>
              <w:ind w:firstLine="482"/>
              <w:rPr>
                <w:rFonts w:hint="eastAsia"/>
                <w:b w:val="0"/>
                <w:bCs w:val="0"/>
                <w:sz w:val="24"/>
                <w:szCs w:val="24"/>
              </w:rPr>
            </w:pPr>
            <w:r>
              <w:rPr>
                <w:rFonts w:hint="eastAsia"/>
                <w:b w:val="0"/>
                <w:bCs w:val="0"/>
                <w:sz w:val="24"/>
                <w:szCs w:val="24"/>
              </w:rPr>
              <w:t>2.多叶片智能排序与标注：</w:t>
            </w:r>
          </w:p>
          <w:p w14:paraId="7A4FA519">
            <w:pPr>
              <w:pStyle w:val="3"/>
              <w:spacing w:before="60" w:beforeAutospacing="0" w:after="60" w:afterAutospacing="0"/>
              <w:ind w:firstLine="482"/>
              <w:rPr>
                <w:rFonts w:hint="eastAsia"/>
                <w:b w:val="0"/>
                <w:bCs w:val="0"/>
                <w:sz w:val="24"/>
                <w:szCs w:val="24"/>
              </w:rPr>
            </w:pPr>
            <w:r>
              <w:rPr>
                <w:rFonts w:hint="eastAsia"/>
                <w:b w:val="0"/>
                <w:bCs w:val="0"/>
                <w:sz w:val="24"/>
                <w:szCs w:val="24"/>
              </w:rPr>
              <w:t>系统能够自动识别图像中的多个叶片，并按照从左到右的顺序进行排序和编号，使测量结果更加条理清晰，便于后续的数据分析和对比。这种多叶片处理能力增强了可视化的直观性，为研究人员提供了更全面、更系统的叶片信息展示。</w:t>
            </w:r>
          </w:p>
          <w:p w14:paraId="715A0A8A">
            <w:pPr>
              <w:pStyle w:val="3"/>
              <w:spacing w:before="60" w:beforeAutospacing="0" w:after="60" w:afterAutospacing="0"/>
              <w:ind w:firstLine="482"/>
              <w:rPr>
                <w:rFonts w:hint="eastAsia"/>
                <w:b w:val="0"/>
                <w:bCs w:val="0"/>
                <w:sz w:val="24"/>
                <w:szCs w:val="24"/>
              </w:rPr>
            </w:pPr>
            <w:r>
              <w:rPr>
                <w:rFonts w:hint="eastAsia"/>
                <w:b w:val="0"/>
                <w:bCs w:val="0"/>
                <w:sz w:val="24"/>
                <w:szCs w:val="24"/>
              </w:rPr>
              <w:t>3，卷曲检测与边缘分类模型集成：</w:t>
            </w:r>
          </w:p>
          <w:p w14:paraId="0CC91925">
            <w:pPr>
              <w:pStyle w:val="3"/>
              <w:spacing w:before="60" w:beforeAutospacing="0" w:after="60" w:afterAutospacing="0"/>
              <w:ind w:firstLine="482"/>
              <w:rPr>
                <w:rFonts w:hint="eastAsia"/>
                <w:b w:val="0"/>
                <w:bCs w:val="0"/>
                <w:sz w:val="24"/>
                <w:szCs w:val="24"/>
              </w:rPr>
            </w:pPr>
            <w:r>
              <w:rPr>
                <w:rFonts w:hint="eastAsia"/>
                <w:b w:val="0"/>
                <w:bCs w:val="0"/>
                <w:sz w:val="24"/>
                <w:szCs w:val="24"/>
              </w:rPr>
              <w:t>利用 ResNet32 的 ONNX 模型对叶片的卷曲状态进行预测，能够准确地区分卷叶和不卷叶，并给出相应的概率，为叶片生理状态的研究提供了重要依据。通过提取图像的形态学特征输入 SVM 模型，实现了对叶片边缘是否规则的预测，进一步丰富了叶片形态特征的分析维度，有助于更深入地了解叶片的生长状况和健康状态。</w:t>
            </w:r>
          </w:p>
          <w:p w14:paraId="6F3FC1B1">
            <w:pPr>
              <w:pStyle w:val="3"/>
              <w:spacing w:before="60" w:beforeAutospacing="0" w:after="60" w:afterAutospacing="0"/>
              <w:ind w:firstLine="482"/>
              <w:rPr>
                <w:rFonts w:hint="eastAsia"/>
                <w:b w:val="0"/>
                <w:bCs w:val="0"/>
                <w:sz w:val="24"/>
                <w:szCs w:val="24"/>
              </w:rPr>
            </w:pPr>
            <w:r>
              <w:rPr>
                <w:rFonts w:hint="eastAsia"/>
                <w:b w:val="0"/>
                <w:bCs w:val="0"/>
                <w:sz w:val="24"/>
                <w:szCs w:val="24"/>
              </w:rPr>
              <w:t>4.分割方法的优化改进：</w:t>
            </w:r>
          </w:p>
          <w:p w14:paraId="6F2F7CF5">
            <w:pPr>
              <w:pStyle w:val="3"/>
              <w:spacing w:before="60" w:beforeAutospacing="0" w:after="60" w:afterAutospacing="0"/>
              <w:ind w:firstLine="482"/>
              <w:rPr>
                <w:rFonts w:hint="eastAsia"/>
                <w:b w:val="0"/>
                <w:bCs w:val="0"/>
                <w:sz w:val="24"/>
                <w:szCs w:val="24"/>
              </w:rPr>
            </w:pPr>
            <w:r>
              <w:rPr>
                <w:rFonts w:hint="eastAsia"/>
                <w:b w:val="0"/>
                <w:bCs w:val="0"/>
                <w:sz w:val="24"/>
                <w:szCs w:val="24"/>
              </w:rPr>
              <w:t>针对复杂光线下的叶片图像，对现有的深度学习分割模型（如 Mask R-CNN、YOLOv8-seg 等）进行优化，提高了模型对叶片的分割精度，尤其是在小目标精确轮廓识别方面取得了显著进展，弥补了现有技术的不足。</w:t>
            </w:r>
          </w:p>
          <w:p w14:paraId="58976374">
            <w:pPr>
              <w:pStyle w:val="3"/>
              <w:spacing w:before="60" w:beforeAutospacing="0" w:after="60" w:afterAutospacing="0"/>
              <w:ind w:firstLine="482"/>
              <w:rPr>
                <w:rFonts w:hint="eastAsia"/>
                <w:b w:val="0"/>
                <w:bCs w:val="0"/>
                <w:sz w:val="24"/>
                <w:szCs w:val="24"/>
              </w:rPr>
            </w:pPr>
            <w:r>
              <w:rPr>
                <w:rFonts w:hint="eastAsia"/>
                <w:b w:val="0"/>
                <w:bCs w:val="0"/>
                <w:sz w:val="24"/>
                <w:szCs w:val="24"/>
              </w:rPr>
              <w:t>5.叶片遮挡补全方法探索：</w:t>
            </w:r>
          </w:p>
          <w:p w14:paraId="6FD1ECA6">
            <w:pPr>
              <w:pStyle w:val="3"/>
              <w:spacing w:before="60" w:beforeAutospacing="0" w:after="60" w:afterAutospacing="0"/>
              <w:ind w:firstLine="482"/>
              <w:rPr>
                <w:rFonts w:hint="eastAsia"/>
                <w:b w:val="0"/>
                <w:bCs w:val="0"/>
                <w:sz w:val="24"/>
                <w:szCs w:val="24"/>
              </w:rPr>
            </w:pPr>
            <w:r>
              <w:rPr>
                <w:rFonts w:hint="eastAsia"/>
                <w:b w:val="0"/>
                <w:bCs w:val="0"/>
                <w:sz w:val="24"/>
                <w:szCs w:val="24"/>
              </w:rPr>
              <w:t>积极寻找有效的方法来解决叶片被遮挡部分的补全问题，通过对残缺部分的合理补全，使图像处理更加完整和准确，从而提高了对</w:t>
            </w:r>
            <w:r>
              <w:rPr>
                <w:rFonts w:hint="eastAsia"/>
                <w:b w:val="0"/>
                <w:bCs w:val="0"/>
                <w:sz w:val="24"/>
                <w:szCs w:val="24"/>
                <w:lang w:val="en-US" w:eastAsia="zh-CN"/>
              </w:rPr>
              <w:t>棉花</w:t>
            </w:r>
            <w:r>
              <w:rPr>
                <w:rFonts w:hint="eastAsia"/>
                <w:b w:val="0"/>
                <w:bCs w:val="0"/>
                <w:sz w:val="24"/>
                <w:szCs w:val="24"/>
              </w:rPr>
              <w:t>叶片长宽以及面积计算的精确度，为更可靠的测量数据。</w:t>
            </w:r>
          </w:p>
          <w:p w14:paraId="75B8C812">
            <w:pPr>
              <w:pStyle w:val="3"/>
              <w:spacing w:before="60" w:beforeAutospacing="0" w:after="60" w:afterAutospacing="0"/>
              <w:ind w:firstLine="482"/>
              <w:rPr>
                <w:rFonts w:hint="eastAsia"/>
                <w:b w:val="0"/>
                <w:bCs w:val="0"/>
                <w:sz w:val="24"/>
                <w:szCs w:val="24"/>
              </w:rPr>
            </w:pPr>
            <w:r>
              <w:rPr>
                <w:rFonts w:hint="eastAsia"/>
                <w:b w:val="0"/>
                <w:bCs w:val="0"/>
                <w:sz w:val="24"/>
                <w:szCs w:val="24"/>
              </w:rPr>
              <w:t>主要项目特色如下：</w:t>
            </w:r>
          </w:p>
          <w:p w14:paraId="5A7A1232">
            <w:pPr>
              <w:pStyle w:val="3"/>
              <w:spacing w:before="60" w:beforeAutospacing="0" w:after="60" w:afterAutospacing="0"/>
              <w:ind w:firstLine="482"/>
              <w:rPr>
                <w:rFonts w:hint="eastAsia"/>
                <w:b w:val="0"/>
                <w:bCs w:val="0"/>
                <w:sz w:val="24"/>
                <w:szCs w:val="24"/>
              </w:rPr>
            </w:pPr>
            <w:r>
              <w:rPr>
                <w:rFonts w:hint="eastAsia"/>
                <w:b w:val="0"/>
                <w:bCs w:val="0"/>
                <w:sz w:val="24"/>
                <w:szCs w:val="24"/>
              </w:rPr>
              <w:t>1.多元技术融合：</w:t>
            </w:r>
          </w:p>
          <w:p w14:paraId="1AC8AF21">
            <w:pPr>
              <w:pStyle w:val="3"/>
              <w:spacing w:before="60" w:beforeAutospacing="0" w:after="60" w:afterAutospacing="0"/>
              <w:ind w:firstLine="482"/>
              <w:rPr>
                <w:rFonts w:hint="eastAsia"/>
                <w:b w:val="0"/>
                <w:bCs w:val="0"/>
                <w:sz w:val="24"/>
                <w:szCs w:val="24"/>
              </w:rPr>
            </w:pPr>
            <w:r>
              <w:rPr>
                <w:rFonts w:hint="eastAsia"/>
                <w:b w:val="0"/>
                <w:bCs w:val="0"/>
                <w:sz w:val="24"/>
                <w:szCs w:val="24"/>
              </w:rPr>
              <w:t>整合了计算机视觉、深度学习（如 YOLOv8、Mask R-CNN 等）和传统图像处理技术（如图像二值化、轮廓提取、透视变换等），充分发挥了各种技术的优势，实现了优势互补，为叶片测量提供了更强大、更精准的技术支持。</w:t>
            </w:r>
          </w:p>
          <w:p w14:paraId="1F87930D">
            <w:pPr>
              <w:pStyle w:val="3"/>
              <w:spacing w:before="60" w:beforeAutospacing="0" w:after="60" w:afterAutospacing="0"/>
              <w:ind w:firstLine="482"/>
              <w:rPr>
                <w:rFonts w:hint="eastAsia"/>
                <w:b w:val="0"/>
                <w:bCs w:val="0"/>
                <w:sz w:val="24"/>
                <w:szCs w:val="24"/>
              </w:rPr>
            </w:pPr>
            <w:r>
              <w:rPr>
                <w:rFonts w:hint="eastAsia"/>
                <w:b w:val="0"/>
                <w:bCs w:val="0"/>
                <w:sz w:val="24"/>
                <w:szCs w:val="24"/>
              </w:rPr>
              <w:t>2.多作物适应性：</w:t>
            </w:r>
          </w:p>
          <w:p w14:paraId="52769F48">
            <w:pPr>
              <w:pStyle w:val="3"/>
              <w:spacing w:before="60" w:beforeAutospacing="0" w:after="60" w:afterAutospacing="0"/>
              <w:ind w:firstLine="482"/>
              <w:rPr>
                <w:rFonts w:hint="eastAsia"/>
                <w:b w:val="0"/>
                <w:bCs w:val="0"/>
                <w:sz w:val="24"/>
                <w:szCs w:val="24"/>
              </w:rPr>
            </w:pPr>
            <w:r>
              <w:rPr>
                <w:rFonts w:hint="eastAsia"/>
                <w:b w:val="0"/>
                <w:bCs w:val="0"/>
                <w:sz w:val="24"/>
                <w:szCs w:val="24"/>
              </w:rPr>
              <w:t>项目不仅在棉花叶片测量方面表现出色，还成功拓展到油菜等其他作物，表明该系统具有良好的通用性和广泛的适应性，能够满足不同农业作物叶片测量的需求，具有广阔的应用前景。</w:t>
            </w:r>
          </w:p>
          <w:p w14:paraId="263F3C53">
            <w:pPr>
              <w:pStyle w:val="3"/>
              <w:spacing w:before="60" w:beforeAutospacing="0" w:after="60" w:afterAutospacing="0"/>
              <w:ind w:firstLine="482"/>
              <w:rPr>
                <w:rFonts w:hint="eastAsia"/>
                <w:b w:val="0"/>
                <w:bCs w:val="0"/>
                <w:sz w:val="24"/>
                <w:szCs w:val="24"/>
              </w:rPr>
            </w:pPr>
            <w:r>
              <w:rPr>
                <w:rFonts w:hint="eastAsia"/>
                <w:b w:val="0"/>
                <w:bCs w:val="0"/>
                <w:sz w:val="24"/>
                <w:szCs w:val="24"/>
              </w:rPr>
              <w:t>3.高精度测量能力：</w:t>
            </w:r>
          </w:p>
          <w:p w14:paraId="6A0F6F92">
            <w:pPr>
              <w:pStyle w:val="3"/>
              <w:spacing w:before="60" w:beforeAutospacing="0" w:after="60" w:afterAutospacing="0"/>
              <w:ind w:firstLine="482"/>
              <w:rPr>
                <w:rFonts w:hint="eastAsia"/>
                <w:b w:val="0"/>
                <w:bCs w:val="0"/>
                <w:sz w:val="24"/>
                <w:szCs w:val="24"/>
              </w:rPr>
            </w:pPr>
            <w:r>
              <w:rPr>
                <w:rFonts w:hint="eastAsia"/>
                <w:b w:val="0"/>
                <w:bCs w:val="0"/>
                <w:sz w:val="24"/>
                <w:szCs w:val="24"/>
              </w:rPr>
              <w:t>采用实例分割掩膜和图像校正方法，结合参照物进行单位换算，在无需专业设备的情况下，实现了高精度的叶片面积、长度和宽度测量。面积测量误差控制在 ±5% 范围，长度测量视角度影响波动约 ±0.2cm，精度达到农业科研和生产实践的要求，为农业育种、作物监测等提供了可靠的基础数据支持。</w:t>
            </w:r>
          </w:p>
          <w:p w14:paraId="0CB1CBE9">
            <w:pPr>
              <w:pStyle w:val="3"/>
              <w:spacing w:before="60" w:beforeAutospacing="0" w:after="60" w:afterAutospacing="0"/>
              <w:ind w:firstLine="482"/>
              <w:rPr>
                <w:rFonts w:hint="eastAsia"/>
                <w:b w:val="0"/>
                <w:bCs w:val="0"/>
                <w:sz w:val="24"/>
                <w:szCs w:val="24"/>
              </w:rPr>
            </w:pPr>
            <w:r>
              <w:rPr>
                <w:rFonts w:hint="eastAsia"/>
                <w:b w:val="0"/>
                <w:bCs w:val="0"/>
                <w:sz w:val="24"/>
                <w:szCs w:val="24"/>
              </w:rPr>
              <w:t>4.全流程自动化：</w:t>
            </w:r>
          </w:p>
          <w:p w14:paraId="5BBB5E20">
            <w:pPr>
              <w:pStyle w:val="3"/>
              <w:spacing w:before="60" w:beforeAutospacing="0" w:after="60" w:afterAutospacing="0"/>
              <w:ind w:firstLine="482"/>
              <w:rPr>
                <w:rFonts w:hint="eastAsia"/>
                <w:b w:val="0"/>
                <w:bCs w:val="0"/>
                <w:sz w:val="24"/>
                <w:szCs w:val="24"/>
              </w:rPr>
            </w:pPr>
            <w:r>
              <w:rPr>
                <w:rFonts w:hint="eastAsia"/>
                <w:b w:val="0"/>
                <w:bCs w:val="0"/>
                <w:sz w:val="24"/>
                <w:szCs w:val="24"/>
              </w:rPr>
              <w:t>从图像采集、预处理、特征提取到参数测量及结果可视化，整个测量流程实现了高度自动化，大大减少了人工干预，提高了测量效率和准确性，避免了人为因素对测量结果的影响，为大规模的叶片测量工作提供了可能。</w:t>
            </w:r>
          </w:p>
          <w:p w14:paraId="603408D3">
            <w:pPr>
              <w:pStyle w:val="3"/>
              <w:spacing w:before="60" w:beforeAutospacing="0" w:after="60" w:afterAutospacing="0"/>
              <w:ind w:firstLine="482"/>
              <w:rPr>
                <w:rFonts w:hint="eastAsia"/>
                <w:b w:val="0"/>
                <w:bCs w:val="0"/>
                <w:sz w:val="24"/>
                <w:szCs w:val="24"/>
              </w:rPr>
            </w:pPr>
            <w:r>
              <w:rPr>
                <w:rFonts w:hint="eastAsia"/>
                <w:b w:val="0"/>
                <w:bCs w:val="0"/>
                <w:sz w:val="24"/>
                <w:szCs w:val="24"/>
              </w:rPr>
              <w:t>5.系统集成与应用便捷性：</w:t>
            </w:r>
          </w:p>
          <w:p w14:paraId="628D99E6">
            <w:pPr>
              <w:pStyle w:val="3"/>
              <w:spacing w:before="60" w:beforeAutospacing="0" w:after="60" w:afterAutospacing="0"/>
              <w:ind w:firstLine="482"/>
              <w:rPr>
                <w:rFonts w:hint="eastAsia"/>
                <w:b w:val="0"/>
                <w:bCs w:val="0"/>
                <w:sz w:val="24"/>
                <w:szCs w:val="24"/>
              </w:rPr>
            </w:pPr>
            <w:r>
              <w:rPr>
                <w:rFonts w:hint="eastAsia"/>
                <w:b w:val="0"/>
                <w:bCs w:val="0"/>
                <w:sz w:val="24"/>
                <w:szCs w:val="24"/>
              </w:rPr>
              <w:t>开发了基于 Flask 后端框架的</w:t>
            </w:r>
            <w:r>
              <w:rPr>
                <w:rFonts w:hint="eastAsia"/>
                <w:b w:val="0"/>
                <w:bCs w:val="0"/>
                <w:sz w:val="24"/>
                <w:szCs w:val="24"/>
                <w:lang w:val="en-US" w:eastAsia="zh-CN"/>
              </w:rPr>
              <w:t>棉花</w:t>
            </w:r>
            <w:r>
              <w:rPr>
                <w:rFonts w:hint="eastAsia"/>
                <w:b w:val="0"/>
                <w:bCs w:val="0"/>
                <w:sz w:val="24"/>
                <w:szCs w:val="24"/>
              </w:rPr>
              <w:t>叶片表型参数测量系统，前后端交互良好，界面友好，操作简便。用户只需上传图像，即可快速获得叶片的详细测量信息和可视化结果，具有实际应用价值，为农业科研人员和生产者提供了一种便捷、高效的工具。</w:t>
            </w:r>
          </w:p>
          <w:p w14:paraId="72BB58C5">
            <w:pPr>
              <w:pStyle w:val="3"/>
              <w:spacing w:before="60" w:beforeAutospacing="0" w:after="60" w:afterAutospacing="0"/>
              <w:ind w:firstLine="482"/>
              <w:rPr>
                <w:rFonts w:hint="eastAsia"/>
                <w:b w:val="0"/>
                <w:bCs w:val="0"/>
                <w:sz w:val="24"/>
                <w:szCs w:val="24"/>
              </w:rPr>
            </w:pPr>
            <w:r>
              <w:rPr>
                <w:rFonts w:hint="eastAsia"/>
                <w:b w:val="0"/>
                <w:bCs w:val="0"/>
                <w:sz w:val="24"/>
                <w:szCs w:val="24"/>
              </w:rPr>
              <w:t>6.深度学习模型的创新应用：</w:t>
            </w:r>
          </w:p>
          <w:p w14:paraId="758477E9">
            <w:pPr>
              <w:pStyle w:val="3"/>
              <w:spacing w:before="60" w:beforeAutospacing="0" w:after="60" w:afterAutospacing="0"/>
              <w:ind w:firstLine="482"/>
              <w:rPr>
                <w:rFonts w:hint="eastAsia"/>
                <w:b w:val="0"/>
                <w:bCs w:val="0"/>
                <w:sz w:val="24"/>
                <w:szCs w:val="24"/>
              </w:rPr>
            </w:pPr>
            <w:r>
              <w:rPr>
                <w:rFonts w:hint="eastAsia"/>
                <w:b w:val="0"/>
                <w:bCs w:val="0"/>
                <w:sz w:val="24"/>
                <w:szCs w:val="24"/>
              </w:rPr>
              <w:t>在叶片测量中创新性地应用了 YOLOv8 目标检测模型和 Mask R-CNN 分割模型，通过不断优化模型参数和训练方法，提高了模型对叶片的识别和分割效果，为深度学习技术在农业领域的应用提供了新的思路和案例。</w:t>
            </w:r>
          </w:p>
          <w:p w14:paraId="243313B6">
            <w:pPr>
              <w:pStyle w:val="3"/>
              <w:spacing w:before="60" w:beforeAutospacing="0" w:after="60" w:afterAutospacing="0"/>
              <w:ind w:firstLine="482"/>
              <w:rPr>
                <w:rFonts w:hint="eastAsia"/>
                <w:b w:val="0"/>
                <w:bCs w:val="0"/>
                <w:sz w:val="24"/>
                <w:szCs w:val="24"/>
              </w:rPr>
            </w:pPr>
            <w:r>
              <w:rPr>
                <w:rFonts w:hint="eastAsia"/>
                <w:b w:val="0"/>
                <w:bCs w:val="0"/>
                <w:sz w:val="24"/>
                <w:szCs w:val="24"/>
              </w:rPr>
              <w:t>7.传统与深度学习方法的对比与融合：</w:t>
            </w:r>
          </w:p>
          <w:p w14:paraId="1B911059">
            <w:pPr>
              <w:pStyle w:val="3"/>
              <w:spacing w:before="60" w:beforeAutospacing="0" w:after="60" w:afterAutospacing="0"/>
              <w:ind w:firstLine="482"/>
              <w:rPr>
                <w:rFonts w:hint="eastAsia"/>
                <w:b w:val="0"/>
                <w:bCs w:val="0"/>
                <w:sz w:val="24"/>
                <w:szCs w:val="24"/>
              </w:rPr>
            </w:pPr>
            <w:r>
              <w:rPr>
                <w:rFonts w:hint="eastAsia"/>
                <w:b w:val="0"/>
                <w:bCs w:val="0"/>
                <w:sz w:val="24"/>
                <w:szCs w:val="24"/>
              </w:rPr>
              <w:t>通过对 Mask R-CNN、YOLOv8-seg 和传统图像处理方法（如 cotton_utils 中的面积测量方法）的对比分析，深入了解了各自的优势和局限性，并在此基础上进行了融合和改进，充分发挥了传统方法在精度和稳定性上的优势以及深度学习方法在自动化和适应性方面的特长，为叶片测量技术的发展提供了更全面、更深入的视角。</w:t>
            </w:r>
          </w:p>
          <w:p w14:paraId="3291F3DF">
            <w:pPr>
              <w:pStyle w:val="3"/>
              <w:spacing w:before="60" w:beforeAutospacing="0" w:after="60" w:afterAutospacing="0"/>
              <w:ind w:firstLine="482"/>
              <w:rPr>
                <w:rFonts w:hint="eastAsia"/>
                <w:b w:val="0"/>
                <w:bCs w:val="0"/>
                <w:sz w:val="24"/>
                <w:szCs w:val="24"/>
              </w:rPr>
            </w:pPr>
            <w:r>
              <w:rPr>
                <w:rFonts w:hint="eastAsia"/>
                <w:b w:val="0"/>
                <w:bCs w:val="0"/>
                <w:sz w:val="24"/>
                <w:szCs w:val="24"/>
              </w:rPr>
              <w:t>8.项目成果的可转化性：</w:t>
            </w:r>
          </w:p>
          <w:p w14:paraId="576D8437">
            <w:pPr>
              <w:pStyle w:val="3"/>
              <w:spacing w:before="60" w:beforeAutospacing="0" w:after="60" w:afterAutospacing="0"/>
              <w:ind w:firstLine="482"/>
              <w:rPr>
                <w:rFonts w:hint="eastAsia"/>
                <w:b w:val="0"/>
                <w:bCs w:val="0"/>
                <w:sz w:val="24"/>
                <w:szCs w:val="24"/>
              </w:rPr>
            </w:pPr>
            <w:r>
              <w:rPr>
                <w:rFonts w:hint="eastAsia"/>
                <w:b w:val="0"/>
                <w:bCs w:val="0"/>
                <w:sz w:val="24"/>
                <w:szCs w:val="24"/>
              </w:rPr>
              <w:t>项目的研究成果不仅具有理论价值，还具有较强的可转化性。开发的叶片测量系统可以进一步完善和优化，推向市场，为农业生产和科研提供商业化的解决方案，具有潜在的经济价值和社会效益。</w:t>
            </w:r>
          </w:p>
          <w:p w14:paraId="1C593569">
            <w:pPr>
              <w:pStyle w:val="3"/>
              <w:spacing w:before="60" w:beforeAutospacing="0" w:after="60" w:afterAutospacing="0"/>
              <w:ind w:firstLine="482"/>
              <w:rPr>
                <w:rFonts w:hint="eastAsia"/>
                <w:b w:val="0"/>
                <w:bCs w:val="0"/>
                <w:sz w:val="24"/>
                <w:szCs w:val="24"/>
              </w:rPr>
            </w:pPr>
            <w:r>
              <w:rPr>
                <w:rFonts w:hint="eastAsia"/>
                <w:b w:val="0"/>
                <w:bCs w:val="0"/>
                <w:sz w:val="24"/>
                <w:szCs w:val="24"/>
              </w:rPr>
              <w:t>9.团队协作与跨学科合作：</w:t>
            </w:r>
          </w:p>
          <w:p w14:paraId="10B0BF60">
            <w:pPr>
              <w:pStyle w:val="3"/>
              <w:spacing w:before="60" w:beforeAutospacing="0" w:after="60" w:afterAutospacing="0"/>
              <w:ind w:firstLine="482"/>
              <w:rPr>
                <w:rFonts w:hint="eastAsia"/>
                <w:b w:val="0"/>
                <w:bCs w:val="0"/>
                <w:sz w:val="24"/>
                <w:szCs w:val="24"/>
              </w:rPr>
            </w:pPr>
            <w:r>
              <w:rPr>
                <w:rFonts w:hint="eastAsia"/>
                <w:b w:val="0"/>
                <w:bCs w:val="0"/>
                <w:sz w:val="24"/>
                <w:szCs w:val="24"/>
              </w:rPr>
              <w:t>项目涉及计算机科学、农业科学等多个学科领域，团队成员来自不同专业背景，通过跨学科的合作和交流，充分发挥了各自的专业优势，共同攻克了叶片测量中的技术难题，体现了团队协作的力量和跨学科合作的重要性。</w:t>
            </w:r>
          </w:p>
          <w:p w14:paraId="1F3C093B">
            <w:pPr>
              <w:pStyle w:val="3"/>
              <w:spacing w:before="60" w:beforeAutospacing="0" w:after="60" w:afterAutospacing="0"/>
              <w:ind w:firstLine="482"/>
              <w:rPr>
                <w:rFonts w:hint="eastAsia"/>
                <w:b w:val="0"/>
                <w:bCs w:val="0"/>
                <w:sz w:val="24"/>
                <w:szCs w:val="24"/>
              </w:rPr>
            </w:pPr>
            <w:r>
              <w:rPr>
                <w:rFonts w:hint="eastAsia"/>
                <w:b w:val="0"/>
                <w:bCs w:val="0"/>
                <w:sz w:val="24"/>
                <w:szCs w:val="24"/>
              </w:rPr>
              <w:t>10.持续创新与优化的潜力：</w:t>
            </w:r>
          </w:p>
          <w:p w14:paraId="0A4C5F7E">
            <w:pPr>
              <w:pStyle w:val="3"/>
              <w:spacing w:before="60" w:beforeAutospacing="0" w:after="60" w:afterAutospacing="0"/>
              <w:ind w:firstLine="482"/>
              <w:rPr>
                <w:rFonts w:hint="eastAsia" w:ascii="仿宋" w:hAnsi="仿宋" w:eastAsia="仿宋"/>
                <w:sz w:val="24"/>
                <w:szCs w:val="24"/>
              </w:rPr>
            </w:pPr>
            <w:r>
              <w:rPr>
                <w:rFonts w:hint="eastAsia"/>
                <w:b w:val="0"/>
                <w:bCs w:val="0"/>
                <w:sz w:val="24"/>
                <w:szCs w:val="24"/>
              </w:rPr>
              <w:t>项目在研究过程中不断探索和尝试新的技术和方法，展现出了持续创新和优化的潜力。随着技术的不断发展和数据的不断积累，项目有望在未来的改进中取得更大的突破，进一步提升叶片测量的精度和效率，为精准农业和智慧农业的发展做出更大的贡献。</w:t>
            </w:r>
          </w:p>
          <w:p w14:paraId="090CC98A">
            <w:pPr>
              <w:pStyle w:val="3"/>
              <w:spacing w:before="60" w:beforeAutospacing="0" w:after="60" w:afterAutospacing="0" w:line="480" w:lineRule="atLeast"/>
              <w:ind w:firstLine="480"/>
              <w:rPr>
                <w:rFonts w:hint="eastAsia" w:ascii="仿宋" w:hAnsi="仿宋" w:eastAsia="仿宋"/>
                <w:sz w:val="24"/>
                <w:szCs w:val="24"/>
              </w:rPr>
            </w:pPr>
          </w:p>
          <w:p w14:paraId="155E6518">
            <w:pPr>
              <w:pStyle w:val="3"/>
              <w:spacing w:before="60" w:beforeAutospacing="0" w:after="60" w:afterAutospacing="0" w:line="480" w:lineRule="atLeast"/>
              <w:ind w:firstLine="480"/>
              <w:rPr>
                <w:rFonts w:hint="eastAsia" w:ascii="仿宋" w:hAnsi="仿宋" w:eastAsia="仿宋"/>
                <w:sz w:val="24"/>
                <w:szCs w:val="24"/>
              </w:rPr>
            </w:pPr>
            <w:r>
              <w:rPr>
                <w:rFonts w:hint="eastAsia" w:ascii="仿宋" w:hAnsi="仿宋" w:eastAsia="仿宋"/>
                <w:sz w:val="24"/>
                <w:szCs w:val="24"/>
              </w:rPr>
              <w:t xml:space="preserve">团队成员分工和合作情况： </w:t>
            </w:r>
          </w:p>
          <w:p w14:paraId="5DBEF857">
            <w:pPr>
              <w:pStyle w:val="3"/>
              <w:spacing w:before="60" w:beforeAutospacing="0" w:after="60" w:afterAutospacing="0" w:line="480" w:lineRule="atLeast"/>
              <w:ind w:firstLine="480"/>
              <w:rPr>
                <w:rFonts w:hint="eastAsia" w:ascii="仿宋" w:hAnsi="仿宋" w:eastAsia="仿宋"/>
                <w:sz w:val="24"/>
                <w:szCs w:val="24"/>
              </w:rPr>
            </w:pPr>
          </w:p>
          <w:p w14:paraId="4B20A1E1">
            <w:pPr>
              <w:pStyle w:val="3"/>
              <w:spacing w:before="60" w:beforeAutospacing="0" w:after="60" w:afterAutospacing="0" w:line="480" w:lineRule="atLeast"/>
              <w:ind w:firstLine="480"/>
              <w:rPr>
                <w:rFonts w:hint="eastAsia" w:ascii="仿宋" w:hAnsi="仿宋" w:eastAsia="仿宋"/>
                <w:sz w:val="24"/>
                <w:szCs w:val="24"/>
              </w:rPr>
            </w:pPr>
            <w:r>
              <w:rPr>
                <w:rFonts w:hint="eastAsia" w:ascii="仿宋" w:hAnsi="仿宋" w:eastAsia="仿宋"/>
                <w:sz w:val="24"/>
                <w:szCs w:val="24"/>
              </w:rPr>
              <w:t xml:space="preserve">成果简述（项目成果的主要内容、重要观点或对策建议）： </w:t>
            </w:r>
          </w:p>
          <w:p w14:paraId="3374F8E6">
            <w:pPr>
              <w:pStyle w:val="3"/>
              <w:spacing w:before="60" w:beforeAutospacing="0" w:after="60" w:afterAutospacing="0" w:line="480" w:lineRule="atLeast"/>
              <w:ind w:firstLine="480"/>
              <w:rPr>
                <w:rFonts w:hint="eastAsia" w:eastAsia="宋体"/>
                <w:b w:val="0"/>
                <w:bCs w:val="0"/>
                <w:sz w:val="24"/>
                <w:szCs w:val="24"/>
              </w:rPr>
            </w:pPr>
            <w:r>
              <w:rPr>
                <w:rFonts w:hint="eastAsia" w:ascii="仿宋" w:hAnsi="仿宋" w:eastAsia="仿宋"/>
                <w:sz w:val="24"/>
                <w:szCs w:val="24"/>
              </w:rPr>
              <w:t xml:space="preserve"> </w:t>
            </w:r>
            <w:r>
              <w:rPr>
                <w:rFonts w:hint="default" w:eastAsia="宋体"/>
                <w:b w:val="0"/>
                <w:bCs w:val="0"/>
                <w:sz w:val="24"/>
                <w:szCs w:val="24"/>
              </w:rPr>
              <w:t>1. 主要内容</w:t>
            </w:r>
          </w:p>
          <w:p w14:paraId="5E96ADFB">
            <w:pPr>
              <w:pStyle w:val="3"/>
              <w:spacing w:before="60" w:beforeAutospacing="0" w:after="60" w:afterAutospacing="0" w:line="480" w:lineRule="atLeast"/>
              <w:ind w:firstLine="480"/>
              <w:rPr>
                <w:rFonts w:hint="default" w:eastAsia="宋体"/>
                <w:b w:val="0"/>
                <w:bCs w:val="0"/>
                <w:sz w:val="24"/>
                <w:szCs w:val="24"/>
              </w:rPr>
            </w:pPr>
            <w:r>
              <w:rPr>
                <w:rFonts w:hint="default" w:eastAsia="宋体"/>
                <w:b w:val="0"/>
                <w:bCs w:val="0"/>
                <w:sz w:val="24"/>
                <w:szCs w:val="24"/>
              </w:rPr>
              <w:t>本研究基于图像处理和深度学习技术，提出了一套自动化提取油菜叶表型参数的方法，包括叶长宽、叶柄长、叶缘缺刻程度、卷叶识别及裂叶数量等关键指标。采用YOLOX目标检测模型实现叶片、叶柄和裂叶的精准定位，结合单目测距技术将像素尺寸转换为实际物理尺寸。针对卷叶识别中的数据不平衡问题，创新性地采用自监督预训练+ResNet32分类，显著提升模型泛化能力（测试集精确率与召回率达100%）。叶缘缺刻分类则基于K-means分割+SVM，准确率达94.44%（训练集）和85.71%（测试集）。最终，系统通过ONNX部署和Flask框架实现Web端自动化参数提取，为油菜育种研究提供高效工具。</w:t>
            </w:r>
          </w:p>
          <w:p w14:paraId="60A1B89A">
            <w:pPr>
              <w:pStyle w:val="3"/>
              <w:spacing w:before="60" w:beforeAutospacing="0" w:after="60" w:afterAutospacing="0" w:line="480" w:lineRule="atLeast"/>
              <w:ind w:firstLine="480"/>
              <w:rPr>
                <w:rFonts w:hint="eastAsia" w:eastAsia="宋体"/>
                <w:b w:val="0"/>
                <w:bCs w:val="0"/>
                <w:sz w:val="24"/>
                <w:szCs w:val="24"/>
              </w:rPr>
            </w:pPr>
            <w:r>
              <w:rPr>
                <w:rFonts w:hint="default" w:eastAsia="宋体"/>
                <w:b w:val="0"/>
                <w:bCs w:val="0"/>
                <w:sz w:val="24"/>
                <w:szCs w:val="24"/>
              </w:rPr>
              <w:t>2. 重要观点</w:t>
            </w:r>
          </w:p>
          <w:p w14:paraId="2C4E7711">
            <w:pPr>
              <w:pStyle w:val="3"/>
              <w:spacing w:before="60" w:beforeAutospacing="0" w:after="60" w:afterAutospacing="0" w:line="480" w:lineRule="atLeast"/>
              <w:ind w:firstLine="480"/>
              <w:rPr>
                <w:rFonts w:hint="eastAsia" w:eastAsia="宋体"/>
                <w:b w:val="0"/>
                <w:bCs w:val="0"/>
                <w:sz w:val="24"/>
                <w:szCs w:val="24"/>
              </w:rPr>
            </w:pPr>
            <w:r>
              <w:rPr>
                <w:rFonts w:hint="default" w:eastAsia="宋体"/>
                <w:b w:val="0"/>
                <w:bCs w:val="0"/>
                <w:sz w:val="24"/>
                <w:szCs w:val="24"/>
              </w:rPr>
              <w:t>技术融合优势：传统图像处理（轮廓分析）与深度学习（YOLOX、ResNet）结合，兼顾精度与效率。</w:t>
            </w:r>
          </w:p>
          <w:p w14:paraId="42C66476">
            <w:pPr>
              <w:pStyle w:val="3"/>
              <w:spacing w:before="60" w:beforeAutospacing="0" w:after="60" w:afterAutospacing="0" w:line="480" w:lineRule="atLeast"/>
              <w:ind w:firstLine="480"/>
              <w:rPr>
                <w:rFonts w:hint="eastAsia" w:eastAsia="宋体"/>
                <w:b w:val="0"/>
                <w:bCs w:val="0"/>
                <w:sz w:val="24"/>
                <w:szCs w:val="24"/>
              </w:rPr>
            </w:pPr>
            <w:r>
              <w:rPr>
                <w:rFonts w:hint="default" w:eastAsia="宋体"/>
                <w:b w:val="0"/>
                <w:bCs w:val="0"/>
                <w:sz w:val="24"/>
                <w:szCs w:val="24"/>
              </w:rPr>
              <w:t>数据不平衡对策：自监督学习可有效缓解小样本问题，优于直接数据增强（EfficientNetV2召回率仅40%）。</w:t>
            </w:r>
          </w:p>
          <w:p w14:paraId="3DE1C875">
            <w:pPr>
              <w:pStyle w:val="3"/>
              <w:spacing w:before="60" w:beforeAutospacing="0" w:after="60" w:afterAutospacing="0" w:line="480" w:lineRule="atLeast"/>
              <w:ind w:firstLine="480"/>
              <w:rPr>
                <w:rFonts w:hint="eastAsia" w:eastAsia="宋体"/>
                <w:b w:val="0"/>
                <w:bCs w:val="0"/>
                <w:sz w:val="24"/>
                <w:szCs w:val="24"/>
              </w:rPr>
            </w:pPr>
            <w:r>
              <w:rPr>
                <w:rFonts w:hint="default" w:eastAsia="宋体"/>
                <w:b w:val="0"/>
                <w:bCs w:val="0"/>
                <w:sz w:val="24"/>
                <w:szCs w:val="24"/>
              </w:rPr>
              <w:t>工程化落地关键：单目测距需避免镜头畸变，复杂场景建议采用双目测距提升精度。</w:t>
            </w:r>
          </w:p>
          <w:p w14:paraId="158109A9">
            <w:pPr>
              <w:pStyle w:val="3"/>
              <w:spacing w:before="60" w:beforeAutospacing="0" w:after="60" w:afterAutospacing="0" w:line="480" w:lineRule="atLeast"/>
              <w:ind w:firstLine="480"/>
              <w:rPr>
                <w:rFonts w:hint="eastAsia" w:eastAsia="宋体"/>
                <w:b w:val="0"/>
                <w:bCs w:val="0"/>
                <w:sz w:val="24"/>
                <w:szCs w:val="24"/>
              </w:rPr>
            </w:pPr>
            <w:r>
              <w:rPr>
                <w:rFonts w:hint="default" w:eastAsia="宋体"/>
                <w:b w:val="0"/>
                <w:bCs w:val="0"/>
                <w:sz w:val="24"/>
                <w:szCs w:val="24"/>
              </w:rPr>
              <w:t>3. 对策建议</w:t>
            </w:r>
          </w:p>
          <w:p w14:paraId="60386AC0">
            <w:pPr>
              <w:pStyle w:val="3"/>
              <w:spacing w:before="60" w:beforeAutospacing="0" w:after="60" w:afterAutospacing="0" w:line="480" w:lineRule="atLeast"/>
              <w:ind w:firstLine="480"/>
              <w:rPr>
                <w:rFonts w:hint="eastAsia" w:eastAsia="宋体"/>
                <w:b w:val="0"/>
                <w:bCs w:val="0"/>
                <w:sz w:val="24"/>
                <w:szCs w:val="24"/>
              </w:rPr>
            </w:pPr>
            <w:r>
              <w:rPr>
                <w:rFonts w:hint="default" w:eastAsia="宋体"/>
                <w:b w:val="0"/>
                <w:bCs w:val="0"/>
                <w:sz w:val="24"/>
                <w:szCs w:val="24"/>
              </w:rPr>
              <w:t>优化遮挡处理：改进YOLOX后处理算法（如自适应NMS阈值），解决叶片重叠导致的误匹配问题。</w:t>
            </w:r>
          </w:p>
          <w:p w14:paraId="138102FF">
            <w:pPr>
              <w:pStyle w:val="3"/>
              <w:spacing w:before="60" w:beforeAutospacing="0" w:after="60" w:afterAutospacing="0" w:line="480" w:lineRule="atLeast"/>
              <w:ind w:firstLine="480"/>
              <w:rPr>
                <w:rFonts w:hint="eastAsia" w:eastAsia="宋体"/>
                <w:b w:val="0"/>
                <w:bCs w:val="0"/>
                <w:sz w:val="24"/>
                <w:szCs w:val="24"/>
              </w:rPr>
            </w:pPr>
            <w:r>
              <w:rPr>
                <w:rFonts w:hint="default" w:eastAsia="宋体"/>
                <w:b w:val="0"/>
                <w:bCs w:val="0"/>
                <w:sz w:val="24"/>
                <w:szCs w:val="24"/>
              </w:rPr>
              <w:t>增强数据多样性：扩充数据集覆盖不同光照、遮挡条件，提升模型鲁棒性。</w:t>
            </w:r>
          </w:p>
          <w:p w14:paraId="1D56DDAE">
            <w:pPr>
              <w:pStyle w:val="3"/>
              <w:spacing w:before="60" w:beforeAutospacing="0" w:after="60" w:afterAutospacing="0" w:line="480" w:lineRule="atLeast"/>
              <w:ind w:firstLine="480"/>
              <w:rPr>
                <w:rFonts w:hint="default" w:eastAsia="宋体"/>
                <w:b w:val="0"/>
                <w:bCs w:val="0"/>
                <w:sz w:val="24"/>
                <w:szCs w:val="24"/>
              </w:rPr>
            </w:pPr>
            <w:r>
              <w:rPr>
                <w:rFonts w:hint="default" w:eastAsia="宋体"/>
                <w:b w:val="0"/>
                <w:bCs w:val="0"/>
                <w:sz w:val="24"/>
                <w:szCs w:val="24"/>
              </w:rPr>
              <w:t>硬件升级：在精度敏感场景（如育种实验室）采用双目相机，降低测距误差。</w:t>
            </w:r>
          </w:p>
          <w:p w14:paraId="66D402C7">
            <w:pPr>
              <w:pStyle w:val="3"/>
              <w:spacing w:before="60" w:beforeAutospacing="0" w:after="60" w:afterAutospacing="0" w:line="480" w:lineRule="atLeast"/>
              <w:ind w:firstLine="480"/>
              <w:rPr>
                <w:rFonts w:hint="eastAsia" w:ascii="仿宋" w:hAnsi="仿宋" w:eastAsia="宋体"/>
                <w:sz w:val="24"/>
                <w:szCs w:val="24"/>
                <w:lang w:eastAsia="zh-CN"/>
              </w:rPr>
            </w:pPr>
            <w:r>
              <w:rPr>
                <w:rFonts w:hint="default" w:eastAsia="宋体"/>
                <w:b w:val="0"/>
                <w:bCs w:val="0"/>
                <w:sz w:val="24"/>
                <w:szCs w:val="24"/>
              </w:rPr>
              <w:t>系统扩展性：集成更多表型参数（如叶面积指数），并适配移动端（APP）方便田间实时检测</w:t>
            </w:r>
            <w:r>
              <w:rPr>
                <w:rFonts w:hint="eastAsia"/>
                <w:b w:val="0"/>
                <w:bCs w:val="0"/>
                <w:sz w:val="24"/>
                <w:szCs w:val="24"/>
                <w:lang w:eastAsia="zh-CN"/>
              </w:rPr>
              <w:t>。</w:t>
            </w:r>
          </w:p>
          <w:p w14:paraId="0E499E09">
            <w:pPr>
              <w:pStyle w:val="7"/>
              <w:keepNext w:val="0"/>
              <w:keepLines w:val="0"/>
              <w:widowControl/>
              <w:suppressLineNumbers w:val="0"/>
              <w:shd w:val="clear" w:color="auto" w:fill="FFFFFF"/>
              <w:spacing w:before="137" w:beforeAutospacing="0" w:after="137" w:afterAutospacing="0" w:line="286" w:lineRule="atLeast"/>
              <w:ind w:left="0" w:right="0" w:firstLine="0"/>
              <w:rPr>
                <w:rFonts w:hint="eastAsia" w:ascii="宋体" w:hAnsi="宋体" w:eastAsia="宋体" w:cs="宋体"/>
                <w:i w:val="0"/>
                <w:iCs w:val="0"/>
                <w:caps w:val="0"/>
                <w:color w:val="404040"/>
                <w:spacing w:val="0"/>
                <w:sz w:val="24"/>
                <w:szCs w:val="24"/>
              </w:rPr>
            </w:pPr>
            <w:r>
              <w:rPr>
                <w:rFonts w:hint="eastAsia" w:ascii="宋体" w:hAnsi="宋体" w:eastAsia="宋体" w:cs="宋体"/>
                <w:sz w:val="24"/>
                <w:szCs w:val="24"/>
              </w:rPr>
              <w:t xml:space="preserve"> </w:t>
            </w:r>
            <w:r>
              <w:rPr>
                <w:rFonts w:hint="eastAsia" w:cs="宋体"/>
                <w:sz w:val="24"/>
                <w:szCs w:val="24"/>
                <w:lang w:val="en-US" w:eastAsia="zh-CN"/>
              </w:rPr>
              <w:t xml:space="preserve">  </w:t>
            </w:r>
            <w:r>
              <w:rPr>
                <w:rFonts w:hint="eastAsia" w:ascii="宋体" w:hAnsi="宋体" w:eastAsia="宋体" w:cs="宋体"/>
                <w:i w:val="0"/>
                <w:iCs w:val="0"/>
                <w:caps w:val="0"/>
                <w:color w:val="404040"/>
                <w:spacing w:val="0"/>
                <w:sz w:val="24"/>
                <w:szCs w:val="24"/>
                <w:shd w:val="clear" w:color="auto" w:fill="FFFFFF"/>
              </w:rPr>
              <w:t>本研究针对棉花叶片形态特征测量与分类的需求，设计并实现了一套基于深度学习与图像处理的自动化系统，显著提升了传统人工测量的效率与准确性。系统通过前后端协同工作，实现了叶片参数的高精度提取与形态类型的智能识别，为棉花生长监测、病虫害诊断及品种识别提供了可靠的技术支持。</w:t>
            </w:r>
          </w:p>
          <w:p w14:paraId="54D02FA5">
            <w:pPr>
              <w:pStyle w:val="7"/>
              <w:keepNext w:val="0"/>
              <w:keepLines w:val="0"/>
              <w:widowControl/>
              <w:suppressLineNumbers w:val="0"/>
              <w:shd w:val="clear" w:color="auto" w:fill="FFFFFF"/>
              <w:spacing w:before="137" w:beforeAutospacing="0" w:after="137" w:afterAutospacing="0" w:line="286" w:lineRule="atLeast"/>
              <w:ind w:left="0" w:right="0" w:firstLine="480" w:firstLineChars="200"/>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sz w:val="24"/>
                <w:szCs w:val="24"/>
                <w:shd w:val="clear" w:color="auto" w:fill="FFFFFF"/>
              </w:rPr>
              <w:t>系统采用模块化设计，前端支持用户上传叶片图像并选择功能，后端基于YOLOv8模型实现叶片定位与标定方块检测，结合OpenCV进行几何校正与轮廓提取，精准计算叶片的实际面积、宽度和高度。在形态分类方面，系统利用迁移学习技术，以ResNet18为基础模型，通过微调和数据增强（每类300张样本），构建了四分类模型（掌形、指形、掌形到指形、披针形），验证准确率达98%以上。YOLOv8的叶片检测精度亦超过95%，系统整体响应时间控制在5秒内，满足实时性需求。</w:t>
            </w:r>
          </w:p>
          <w:p w14:paraId="7FE3250E">
            <w:pPr>
              <w:pStyle w:val="7"/>
              <w:keepNext w:val="0"/>
              <w:keepLines w:val="0"/>
              <w:widowControl/>
              <w:suppressLineNumbers w:val="0"/>
              <w:shd w:val="clear" w:color="auto" w:fill="FFFFFF"/>
              <w:spacing w:before="137" w:beforeAutospacing="0" w:after="137" w:afterAutospacing="0" w:line="286" w:lineRule="atLeast"/>
              <w:ind w:left="0" w:right="0" w:firstLine="480" w:firstLineChars="200"/>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sz w:val="24"/>
                <w:szCs w:val="24"/>
                <w:shd w:val="clear" w:color="auto" w:fill="FFFFFF"/>
              </w:rPr>
              <w:t>图像处理环节通过k-means聚类分割叶片与背景，结合标定方块的像素-厘米换算比例，确保测量结果的物理意义。用户交互界面简洁高效，后端基于Flask提供API服务，支持静态图像标注展示与多参数表格输出。</w:t>
            </w:r>
          </w:p>
          <w:p w14:paraId="4B92AC2C">
            <w:pPr>
              <w:pStyle w:val="7"/>
              <w:keepNext w:val="0"/>
              <w:keepLines w:val="0"/>
              <w:widowControl/>
              <w:suppressLineNumbers w:val="0"/>
              <w:shd w:val="clear" w:color="auto" w:fill="FFFFFF"/>
              <w:spacing w:before="137" w:beforeAutospacing="0" w:after="0" w:afterAutospacing="0" w:line="286" w:lineRule="atLeast"/>
              <w:ind w:left="0" w:right="0" w:firstLine="480" w:firstLineChars="200"/>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sz w:val="24"/>
                <w:szCs w:val="24"/>
                <w:shd w:val="clear" w:color="auto" w:fill="FFFFFF"/>
              </w:rPr>
              <w:t>实验结果表明，该系统在测试数据集上性能稳定，兼具高精度与实用性。未来可进一步扩展至病害识别、多叶片分离及生长曲线分析，为智慧农业提供更全面的决策支持。本研究的创新性在于将目标检测、迁移学习与传统图像处理技术深度融合，为农业信息化提供了一套可落地的解决方案。</w:t>
            </w:r>
          </w:p>
          <w:p w14:paraId="4BFD303A">
            <w:pPr>
              <w:pStyle w:val="2"/>
              <w:spacing w:before="120" w:beforeAutospacing="0" w:after="120" w:afterAutospacing="0" w:line="400" w:lineRule="atLeast"/>
              <w:ind w:firstLine="480"/>
              <w:textAlignment w:val="center"/>
              <w:rPr>
                <w:rFonts w:hint="eastAsia"/>
              </w:rPr>
            </w:pPr>
            <w:r>
              <w:rPr>
                <w:rFonts w:hint="eastAsia"/>
              </w:rPr>
              <w:t xml:space="preserve">3）研究总结报告 </w:t>
            </w:r>
          </w:p>
          <w:p w14:paraId="1556F528">
            <w:pPr>
              <w:pStyle w:val="3"/>
              <w:spacing w:before="60" w:beforeAutospacing="0" w:after="60" w:afterAutospacing="0" w:line="480" w:lineRule="atLeast"/>
              <w:ind w:firstLine="480"/>
              <w:rPr>
                <w:rFonts w:hint="eastAsia" w:ascii="仿宋" w:hAnsi="仿宋" w:eastAsia="仿宋"/>
                <w:sz w:val="24"/>
                <w:szCs w:val="24"/>
              </w:rPr>
            </w:pPr>
            <w:r>
              <w:rPr>
                <w:rFonts w:hint="eastAsia" w:ascii="仿宋" w:hAnsi="仿宋" w:eastAsia="仿宋"/>
                <w:sz w:val="24"/>
                <w:szCs w:val="24"/>
              </w:rPr>
              <w:t xml:space="preserve">预定计划执行情况，项目研究和实践情况： </w:t>
            </w:r>
          </w:p>
          <w:p w14:paraId="1FB80BD6">
            <w:pPr>
              <w:pStyle w:val="3"/>
              <w:spacing w:before="60" w:beforeAutospacing="0" w:after="60" w:afterAutospacing="0" w:line="480" w:lineRule="atLeast"/>
              <w:ind w:firstLine="480"/>
              <w:rPr>
                <w:rFonts w:hint="eastAsia" w:ascii="仿宋" w:hAnsi="仿宋" w:eastAsia="仿宋"/>
                <w:sz w:val="24"/>
                <w:szCs w:val="24"/>
              </w:rPr>
            </w:pPr>
          </w:p>
          <w:p w14:paraId="0F2A961C">
            <w:pPr>
              <w:pStyle w:val="3"/>
              <w:spacing w:before="60" w:beforeAutospacing="0" w:after="60" w:afterAutospacing="0" w:line="480" w:lineRule="atLeast"/>
              <w:ind w:firstLine="480"/>
              <w:rPr>
                <w:sz w:val="21"/>
                <w:szCs w:val="21"/>
              </w:rPr>
            </w:pPr>
            <w:r>
              <w:rPr>
                <w:rFonts w:hint="eastAsia" w:ascii="仿宋" w:hAnsi="仿宋" w:eastAsia="仿宋"/>
                <w:sz w:val="24"/>
                <w:szCs w:val="24"/>
              </w:rPr>
              <w:t xml:space="preserve">项目实施的收获和体会，项目工作有哪些不足，有哪些问题尚需深入研究，项目工作中的困难、问题和建议： </w:t>
            </w:r>
          </w:p>
        </w:tc>
      </w:tr>
      <w:tr w14:paraId="72186D50">
        <w:tblPrEx>
          <w:tblCellMar>
            <w:top w:w="15" w:type="dxa"/>
            <w:left w:w="15" w:type="dxa"/>
            <w:bottom w:w="15" w:type="dxa"/>
            <w:right w:w="15" w:type="dxa"/>
          </w:tblCellMar>
        </w:tblPrEx>
        <w:tc>
          <w:tcPr>
            <w:tcW w:w="0" w:type="auto"/>
            <w:tcBorders>
              <w:top w:val="single" w:color="auto" w:sz="8" w:space="0"/>
              <w:left w:val="single" w:color="auto" w:sz="8" w:space="0"/>
              <w:bottom w:val="single" w:color="auto" w:sz="8" w:space="0"/>
              <w:right w:val="single" w:color="auto" w:sz="8" w:space="0"/>
            </w:tcBorders>
            <w:noWrap w:val="0"/>
            <w:tcMar>
              <w:top w:w="120" w:type="dxa"/>
              <w:left w:w="120" w:type="dxa"/>
              <w:bottom w:w="120" w:type="dxa"/>
              <w:right w:w="120" w:type="dxa"/>
            </w:tcMar>
            <w:vAlign w:val="center"/>
          </w:tcPr>
          <w:p w14:paraId="1F6C60E9">
            <w:pPr>
              <w:pStyle w:val="3"/>
              <w:spacing w:before="60" w:beforeAutospacing="0" w:after="60" w:afterAutospacing="0" w:line="480" w:lineRule="atLeast"/>
              <w:ind w:firstLine="480"/>
              <w:rPr>
                <w:rFonts w:hint="eastAsia" w:ascii="仿宋" w:hAnsi="仿宋" w:eastAsia="仿宋"/>
                <w:sz w:val="24"/>
                <w:szCs w:val="24"/>
              </w:rPr>
            </w:pPr>
          </w:p>
        </w:tc>
      </w:tr>
    </w:tbl>
    <w:p w14:paraId="7F2D0881">
      <w:pPr>
        <w:pStyle w:val="2"/>
        <w:keepNext/>
        <w:spacing w:line="600" w:lineRule="atLeast"/>
        <w:textAlignment w:val="center"/>
        <w:rPr>
          <w:rFonts w:hint="eastAsia" w:ascii="黑体" w:hAnsi="黑体" w:eastAsia="黑体"/>
          <w:b w:val="0"/>
          <w:bCs w:val="0"/>
          <w:sz w:val="28"/>
          <w:szCs w:val="28"/>
        </w:rPr>
      </w:pPr>
      <w:r>
        <w:rPr>
          <w:rFonts w:hint="eastAsia" w:ascii="黑体" w:hAnsi="黑体" w:eastAsia="黑体"/>
          <w:b w:val="0"/>
          <w:bCs w:val="0"/>
          <w:sz w:val="28"/>
          <w:szCs w:val="28"/>
        </w:rPr>
        <w:t xml:space="preserve">三、 经费开支与报销情况 </w:t>
      </w:r>
    </w:p>
    <w:tbl>
      <w:tblPr>
        <w:tblStyle w:val="8"/>
        <w:tblW w:w="5000" w:type="pct"/>
        <w:tblInd w:w="0" w:type="dxa"/>
        <w:tblLayout w:type="autofit"/>
        <w:tblCellMar>
          <w:top w:w="15" w:type="dxa"/>
          <w:left w:w="15" w:type="dxa"/>
          <w:bottom w:w="15" w:type="dxa"/>
          <w:right w:w="15" w:type="dxa"/>
        </w:tblCellMar>
      </w:tblPr>
      <w:tblGrid>
        <w:gridCol w:w="9600"/>
      </w:tblGrid>
      <w:tr w14:paraId="070D4140">
        <w:tblPrEx>
          <w:tblCellMar>
            <w:top w:w="15" w:type="dxa"/>
            <w:left w:w="15" w:type="dxa"/>
            <w:bottom w:w="15" w:type="dxa"/>
            <w:right w:w="15" w:type="dxa"/>
          </w:tblCellMar>
        </w:tblPrEx>
        <w:tc>
          <w:tcPr>
            <w:tcW w:w="0" w:type="auto"/>
            <w:tcBorders>
              <w:top w:val="single" w:color="auto" w:sz="8" w:space="0"/>
              <w:left w:val="single" w:color="auto" w:sz="8" w:space="0"/>
              <w:bottom w:val="single" w:color="auto" w:sz="8" w:space="0"/>
              <w:right w:val="single" w:color="auto" w:sz="8" w:space="0"/>
            </w:tcBorders>
            <w:noWrap w:val="0"/>
            <w:tcMar>
              <w:top w:w="120" w:type="dxa"/>
              <w:left w:w="120" w:type="dxa"/>
              <w:bottom w:w="120" w:type="dxa"/>
              <w:right w:w="120" w:type="dxa"/>
            </w:tcMar>
            <w:vAlign w:val="center"/>
          </w:tcPr>
          <w:p w14:paraId="429D76FA">
            <w:pPr>
              <w:pStyle w:val="2"/>
              <w:spacing w:before="120" w:beforeAutospacing="0" w:after="120" w:afterAutospacing="0" w:line="400" w:lineRule="atLeast"/>
              <w:ind w:firstLine="480"/>
              <w:textAlignment w:val="center"/>
              <w:rPr>
                <w:rFonts w:hint="eastAsia"/>
              </w:rPr>
            </w:pPr>
            <w:r>
              <w:rPr>
                <w:rFonts w:hint="eastAsia"/>
              </w:rPr>
              <w:t xml:space="preserve">经费报销情况 </w:t>
            </w:r>
          </w:p>
          <w:p w14:paraId="0FA9347B">
            <w:pPr>
              <w:pStyle w:val="2"/>
              <w:spacing w:before="120" w:beforeAutospacing="0" w:after="120" w:afterAutospacing="0" w:line="400" w:lineRule="atLeast"/>
              <w:ind w:firstLine="480"/>
              <w:textAlignment w:val="center"/>
              <w:rPr>
                <w:rFonts w:hint="eastAsia"/>
              </w:rPr>
            </w:pPr>
          </w:p>
        </w:tc>
      </w:tr>
    </w:tbl>
    <w:p w14:paraId="0F179BFA">
      <w:pPr>
        <w:pStyle w:val="2"/>
        <w:keepNext/>
        <w:spacing w:line="600" w:lineRule="atLeast"/>
        <w:textAlignment w:val="center"/>
        <w:rPr>
          <w:rFonts w:hint="eastAsia" w:ascii="黑体" w:hAnsi="黑体" w:eastAsia="黑体"/>
          <w:b w:val="0"/>
          <w:bCs w:val="0"/>
          <w:sz w:val="28"/>
          <w:szCs w:val="28"/>
        </w:rPr>
      </w:pPr>
      <w:r>
        <w:rPr>
          <w:rFonts w:hint="eastAsia" w:ascii="黑体" w:hAnsi="黑体" w:eastAsia="黑体"/>
          <w:b w:val="0"/>
          <w:bCs w:val="0"/>
          <w:sz w:val="28"/>
          <w:szCs w:val="28"/>
        </w:rPr>
        <w:t xml:space="preserve">四、 项目组成员签名 </w:t>
      </w:r>
    </w:p>
    <w:tbl>
      <w:tblPr>
        <w:tblStyle w:val="8"/>
        <w:tblW w:w="5000" w:type="pct"/>
        <w:tblInd w:w="0" w:type="dxa"/>
        <w:tblLayout w:type="autofit"/>
        <w:tblCellMar>
          <w:top w:w="15" w:type="dxa"/>
          <w:left w:w="15" w:type="dxa"/>
          <w:bottom w:w="15" w:type="dxa"/>
          <w:right w:w="15" w:type="dxa"/>
        </w:tblCellMar>
      </w:tblPr>
      <w:tblGrid>
        <w:gridCol w:w="9440"/>
      </w:tblGrid>
      <w:tr w14:paraId="40DC466A">
        <w:tblPrEx>
          <w:tblCellMar>
            <w:top w:w="15" w:type="dxa"/>
            <w:left w:w="15" w:type="dxa"/>
            <w:bottom w:w="15" w:type="dxa"/>
            <w:right w:w="15" w:type="dxa"/>
          </w:tblCellMar>
        </w:tblPrEx>
        <w:tc>
          <w:tcPr>
            <w:tcW w:w="0" w:type="auto"/>
            <w:tcBorders>
              <w:top w:val="single" w:color="auto" w:sz="8" w:space="0"/>
              <w:left w:val="single" w:color="auto" w:sz="8" w:space="0"/>
              <w:bottom w:val="single" w:color="auto" w:sz="8" w:space="0"/>
              <w:right w:val="single" w:color="auto" w:sz="8" w:space="0"/>
            </w:tcBorders>
            <w:noWrap w:val="0"/>
            <w:tcMar>
              <w:top w:w="120" w:type="dxa"/>
              <w:left w:w="40" w:type="dxa"/>
              <w:bottom w:w="120" w:type="dxa"/>
              <w:right w:w="40" w:type="dxa"/>
            </w:tcMar>
            <w:vAlign w:val="center"/>
          </w:tcPr>
          <w:p w14:paraId="51CB59A3">
            <w:r>
              <w:t xml:space="preserve">  </w:t>
            </w:r>
          </w:p>
          <w:p w14:paraId="4454C558">
            <w:r>
              <w:t xml:space="preserve">  </w:t>
            </w:r>
          </w:p>
          <w:p w14:paraId="4AFE4C9F">
            <w:r>
              <w:t xml:space="preserve">  </w:t>
            </w:r>
          </w:p>
        </w:tc>
      </w:tr>
    </w:tbl>
    <w:p w14:paraId="66C3532D">
      <w:pPr>
        <w:pStyle w:val="2"/>
        <w:keepNext/>
        <w:spacing w:line="600" w:lineRule="atLeast"/>
        <w:textAlignment w:val="center"/>
        <w:rPr>
          <w:rFonts w:hint="eastAsia" w:ascii="黑体" w:hAnsi="黑体" w:eastAsia="黑体"/>
          <w:b w:val="0"/>
          <w:bCs w:val="0"/>
          <w:sz w:val="28"/>
          <w:szCs w:val="28"/>
        </w:rPr>
      </w:pPr>
      <w:r>
        <w:rPr>
          <w:rFonts w:hint="eastAsia" w:ascii="黑体" w:hAnsi="黑体" w:eastAsia="黑体"/>
          <w:b w:val="0"/>
          <w:bCs w:val="0"/>
          <w:sz w:val="28"/>
          <w:szCs w:val="28"/>
        </w:rPr>
        <w:t xml:space="preserve">五、 指导老师结题意见 </w:t>
      </w:r>
    </w:p>
    <w:tbl>
      <w:tblPr>
        <w:tblStyle w:val="8"/>
        <w:tblW w:w="5000" w:type="pct"/>
        <w:tblInd w:w="0" w:type="dxa"/>
        <w:tblLayout w:type="autofit"/>
        <w:tblCellMar>
          <w:top w:w="15" w:type="dxa"/>
          <w:left w:w="15" w:type="dxa"/>
          <w:bottom w:w="15" w:type="dxa"/>
          <w:right w:w="15" w:type="dxa"/>
        </w:tblCellMar>
      </w:tblPr>
      <w:tblGrid>
        <w:gridCol w:w="9440"/>
      </w:tblGrid>
      <w:tr w14:paraId="461420D6">
        <w:tc>
          <w:tcPr>
            <w:tcW w:w="0" w:type="auto"/>
            <w:tcBorders>
              <w:top w:val="single" w:color="auto" w:sz="8" w:space="0"/>
              <w:left w:val="single" w:color="auto" w:sz="8" w:space="0"/>
              <w:bottom w:val="single" w:color="auto" w:sz="8" w:space="0"/>
              <w:right w:val="single" w:color="auto" w:sz="8" w:space="0"/>
            </w:tcBorders>
            <w:noWrap w:val="0"/>
            <w:tcMar>
              <w:top w:w="120" w:type="dxa"/>
              <w:left w:w="40" w:type="dxa"/>
              <w:bottom w:w="120" w:type="dxa"/>
              <w:right w:w="40" w:type="dxa"/>
            </w:tcMar>
            <w:vAlign w:val="center"/>
          </w:tcPr>
          <w:p w14:paraId="7EACABAE">
            <w:pPr>
              <w:jc w:val="both"/>
              <w:rPr>
                <w:rFonts w:hint="eastAsia" w:ascii="仿宋" w:hAnsi="仿宋" w:eastAsia="仿宋"/>
                <w:b/>
                <w:bCs/>
              </w:rPr>
            </w:pPr>
          </w:p>
          <w:p w14:paraId="0A6AB3B4">
            <w:pPr>
              <w:jc w:val="right"/>
              <w:rPr>
                <w:rFonts w:ascii="仿宋" w:hAnsi="仿宋" w:eastAsia="仿宋"/>
                <w:b/>
                <w:bCs/>
              </w:rPr>
            </w:pPr>
            <w:r>
              <w:rPr>
                <w:rFonts w:hint="eastAsia" w:ascii="仿宋" w:hAnsi="仿宋" w:eastAsia="仿宋"/>
                <w:b/>
                <w:bCs/>
              </w:rPr>
              <w:t>导师签字：</w:t>
            </w:r>
          </w:p>
          <w:p w14:paraId="40BF5C40">
            <w:pPr>
              <w:jc w:val="right"/>
              <w:rPr>
                <w:rFonts w:ascii="仿宋" w:hAnsi="仿宋" w:eastAsia="仿宋"/>
                <w:b/>
                <w:bCs/>
              </w:rPr>
            </w:pPr>
            <w:r>
              <w:rPr>
                <w:rFonts w:hint="eastAsia"/>
                <w:b/>
                <w:bCs/>
              </w:rPr>
              <w:t>  </w:t>
            </w:r>
            <w:r>
              <w:rPr>
                <w:rFonts w:hint="eastAsia" w:ascii="仿宋" w:hAnsi="仿宋" w:eastAsia="仿宋"/>
                <w:b/>
                <w:bCs/>
              </w:rPr>
              <w:t>年</w:t>
            </w:r>
            <w:r>
              <w:rPr>
                <w:rFonts w:hint="eastAsia"/>
                <w:b/>
                <w:bCs/>
              </w:rPr>
              <w:t>        </w:t>
            </w:r>
            <w:r>
              <w:rPr>
                <w:rFonts w:hint="eastAsia" w:ascii="仿宋" w:hAnsi="仿宋" w:eastAsia="仿宋"/>
                <w:b/>
                <w:bCs/>
              </w:rPr>
              <w:t>月</w:t>
            </w:r>
            <w:r>
              <w:rPr>
                <w:rFonts w:hint="eastAsia"/>
                <w:b/>
                <w:bCs/>
              </w:rPr>
              <w:t>        </w:t>
            </w:r>
            <w:r>
              <w:rPr>
                <w:rFonts w:hint="eastAsia" w:ascii="仿宋" w:hAnsi="仿宋" w:eastAsia="仿宋"/>
                <w:b/>
                <w:bCs/>
              </w:rPr>
              <w:t>日</w:t>
            </w:r>
            <w:r>
              <w:rPr>
                <w:rFonts w:hint="eastAsia"/>
                <w:b/>
                <w:bCs/>
              </w:rPr>
              <w:t>  </w:t>
            </w:r>
          </w:p>
        </w:tc>
      </w:tr>
    </w:tbl>
    <w:p w14:paraId="2E0301C1">
      <w:pPr>
        <w:pStyle w:val="2"/>
        <w:keepNext/>
        <w:spacing w:line="600" w:lineRule="atLeast"/>
        <w:textAlignment w:val="center"/>
        <w:rPr>
          <w:rFonts w:hint="eastAsia" w:ascii="黑体" w:hAnsi="黑体" w:eastAsia="黑体"/>
          <w:b w:val="0"/>
          <w:bCs w:val="0"/>
          <w:sz w:val="28"/>
          <w:szCs w:val="28"/>
        </w:rPr>
      </w:pPr>
      <w:r>
        <w:rPr>
          <w:rFonts w:hint="eastAsia" w:ascii="黑体" w:hAnsi="黑体" w:eastAsia="黑体"/>
          <w:b w:val="0"/>
          <w:bCs w:val="0"/>
          <w:sz w:val="28"/>
          <w:szCs w:val="28"/>
        </w:rPr>
        <w:t xml:space="preserve">六、 院系结题意见 </w:t>
      </w:r>
    </w:p>
    <w:tbl>
      <w:tblPr>
        <w:tblStyle w:val="8"/>
        <w:tblW w:w="5000" w:type="pct"/>
        <w:tblInd w:w="0" w:type="dxa"/>
        <w:tblLayout w:type="autofit"/>
        <w:tblCellMar>
          <w:top w:w="15" w:type="dxa"/>
          <w:left w:w="15" w:type="dxa"/>
          <w:bottom w:w="15" w:type="dxa"/>
          <w:right w:w="15" w:type="dxa"/>
        </w:tblCellMar>
      </w:tblPr>
      <w:tblGrid>
        <w:gridCol w:w="9440"/>
      </w:tblGrid>
      <w:tr w14:paraId="095FE713">
        <w:tblPrEx>
          <w:tblCellMar>
            <w:top w:w="15" w:type="dxa"/>
            <w:left w:w="15" w:type="dxa"/>
            <w:bottom w:w="15" w:type="dxa"/>
            <w:right w:w="15" w:type="dxa"/>
          </w:tblCellMar>
        </w:tblPrEx>
        <w:tc>
          <w:tcPr>
            <w:tcW w:w="0" w:type="auto"/>
            <w:tcBorders>
              <w:top w:val="single" w:color="auto" w:sz="8" w:space="0"/>
              <w:left w:val="single" w:color="auto" w:sz="8" w:space="0"/>
              <w:bottom w:val="single" w:color="auto" w:sz="8" w:space="0"/>
              <w:right w:val="single" w:color="auto" w:sz="8" w:space="0"/>
            </w:tcBorders>
            <w:noWrap w:val="0"/>
            <w:tcMar>
              <w:top w:w="120" w:type="dxa"/>
              <w:left w:w="40" w:type="dxa"/>
              <w:bottom w:w="120" w:type="dxa"/>
              <w:right w:w="40" w:type="dxa"/>
            </w:tcMar>
            <w:vAlign w:val="center"/>
          </w:tcPr>
          <w:p w14:paraId="6F6AF51D"/>
          <w:p w14:paraId="2515D879">
            <w:r>
              <w:t xml:space="preserve">  </w:t>
            </w:r>
          </w:p>
          <w:p w14:paraId="03F9C7D0">
            <w:pPr>
              <w:jc w:val="right"/>
              <w:rPr>
                <w:rFonts w:ascii="仿宋" w:hAnsi="仿宋" w:eastAsia="仿宋"/>
                <w:b/>
                <w:bCs/>
              </w:rPr>
            </w:pPr>
            <w:r>
              <w:rPr>
                <w:rFonts w:hint="eastAsia" w:ascii="仿宋" w:hAnsi="仿宋" w:eastAsia="仿宋"/>
                <w:b/>
                <w:bCs/>
              </w:rPr>
              <w:t>教学负责人（签章）：</w:t>
            </w:r>
          </w:p>
          <w:p w14:paraId="688AFBB4">
            <w:pPr>
              <w:jc w:val="right"/>
              <w:rPr>
                <w:rFonts w:ascii="仿宋" w:hAnsi="仿宋" w:eastAsia="仿宋"/>
                <w:b/>
                <w:bCs/>
              </w:rPr>
            </w:pPr>
            <w:r>
              <w:rPr>
                <w:rFonts w:hint="eastAsia"/>
                <w:b/>
                <w:bCs/>
              </w:rPr>
              <w:t>  </w:t>
            </w:r>
            <w:r>
              <w:rPr>
                <w:rFonts w:hint="eastAsia" w:ascii="仿宋" w:hAnsi="仿宋" w:eastAsia="仿宋"/>
                <w:b/>
                <w:bCs/>
              </w:rPr>
              <w:t>年</w:t>
            </w:r>
            <w:r>
              <w:rPr>
                <w:rFonts w:hint="eastAsia"/>
                <w:b/>
                <w:bCs/>
              </w:rPr>
              <w:t>        </w:t>
            </w:r>
            <w:r>
              <w:rPr>
                <w:rFonts w:hint="eastAsia" w:ascii="仿宋" w:hAnsi="仿宋" w:eastAsia="仿宋"/>
                <w:b/>
                <w:bCs/>
              </w:rPr>
              <w:t>月</w:t>
            </w:r>
            <w:r>
              <w:rPr>
                <w:rFonts w:hint="eastAsia"/>
                <w:b/>
                <w:bCs/>
              </w:rPr>
              <w:t>        </w:t>
            </w:r>
            <w:r>
              <w:rPr>
                <w:rFonts w:hint="eastAsia" w:ascii="仿宋" w:hAnsi="仿宋" w:eastAsia="仿宋"/>
                <w:b/>
                <w:bCs/>
              </w:rPr>
              <w:t>日</w:t>
            </w:r>
            <w:r>
              <w:rPr>
                <w:rFonts w:hint="eastAsia"/>
                <w:b/>
                <w:bCs/>
              </w:rPr>
              <w:t>  </w:t>
            </w:r>
          </w:p>
        </w:tc>
      </w:tr>
    </w:tbl>
    <w:p w14:paraId="7AA563B1">
      <w:pPr>
        <w:pStyle w:val="2"/>
        <w:keepNext/>
        <w:spacing w:line="600" w:lineRule="atLeast"/>
        <w:textAlignment w:val="center"/>
        <w:rPr>
          <w:rFonts w:hint="eastAsia" w:ascii="黑体" w:hAnsi="黑体" w:eastAsia="黑体"/>
          <w:b w:val="0"/>
          <w:bCs w:val="0"/>
          <w:sz w:val="28"/>
          <w:szCs w:val="28"/>
        </w:rPr>
      </w:pPr>
      <w:r>
        <w:rPr>
          <w:rFonts w:hint="eastAsia" w:ascii="黑体" w:hAnsi="黑体" w:eastAsia="黑体"/>
          <w:b w:val="0"/>
          <w:bCs w:val="0"/>
          <w:sz w:val="28"/>
          <w:szCs w:val="28"/>
        </w:rPr>
        <w:t xml:space="preserve">七、 学校大学生创新创业训练计划专家组意见 </w:t>
      </w:r>
    </w:p>
    <w:tbl>
      <w:tblPr>
        <w:tblStyle w:val="8"/>
        <w:tblW w:w="5000" w:type="pct"/>
        <w:tblInd w:w="0" w:type="dxa"/>
        <w:tblLayout w:type="autofit"/>
        <w:tblCellMar>
          <w:top w:w="15" w:type="dxa"/>
          <w:left w:w="15" w:type="dxa"/>
          <w:bottom w:w="15" w:type="dxa"/>
          <w:right w:w="15" w:type="dxa"/>
        </w:tblCellMar>
      </w:tblPr>
      <w:tblGrid>
        <w:gridCol w:w="9440"/>
      </w:tblGrid>
      <w:tr w14:paraId="39A32F4B">
        <w:tblPrEx>
          <w:tblCellMar>
            <w:top w:w="15" w:type="dxa"/>
            <w:left w:w="15" w:type="dxa"/>
            <w:bottom w:w="15" w:type="dxa"/>
            <w:right w:w="15" w:type="dxa"/>
          </w:tblCellMar>
        </w:tblPrEx>
        <w:tc>
          <w:tcPr>
            <w:tcW w:w="0" w:type="auto"/>
            <w:tcBorders>
              <w:top w:val="single" w:color="auto" w:sz="8" w:space="0"/>
              <w:left w:val="single" w:color="auto" w:sz="8" w:space="0"/>
              <w:bottom w:val="single" w:color="auto" w:sz="8" w:space="0"/>
              <w:right w:val="single" w:color="auto" w:sz="8" w:space="0"/>
            </w:tcBorders>
            <w:noWrap w:val="0"/>
            <w:tcMar>
              <w:top w:w="120" w:type="dxa"/>
              <w:left w:w="40" w:type="dxa"/>
              <w:bottom w:w="120" w:type="dxa"/>
              <w:right w:w="40" w:type="dxa"/>
            </w:tcMar>
            <w:vAlign w:val="center"/>
          </w:tcPr>
          <w:p w14:paraId="0E96D44B">
            <w:r>
              <w:t xml:space="preserve">  </w:t>
            </w:r>
          </w:p>
          <w:p w14:paraId="4318AD3D">
            <w:r>
              <w:t xml:space="preserve">  </w:t>
            </w:r>
          </w:p>
          <w:p w14:paraId="3334480C">
            <w:r>
              <w:t xml:space="preserve">  </w:t>
            </w:r>
          </w:p>
          <w:p w14:paraId="6F545D5A">
            <w:pPr>
              <w:jc w:val="right"/>
              <w:rPr>
                <w:rFonts w:ascii="仿宋" w:hAnsi="仿宋" w:eastAsia="仿宋"/>
                <w:b/>
                <w:bCs/>
              </w:rPr>
            </w:pPr>
            <w:r>
              <w:rPr>
                <w:rFonts w:hint="eastAsia" w:ascii="仿宋" w:hAnsi="仿宋" w:eastAsia="仿宋"/>
                <w:b/>
                <w:bCs/>
              </w:rPr>
              <w:t>负责人（签章）：</w:t>
            </w:r>
          </w:p>
          <w:p w14:paraId="14693E78">
            <w:pPr>
              <w:jc w:val="right"/>
              <w:rPr>
                <w:rFonts w:ascii="仿宋" w:hAnsi="仿宋" w:eastAsia="仿宋"/>
                <w:b/>
                <w:bCs/>
              </w:rPr>
            </w:pPr>
            <w:r>
              <w:rPr>
                <w:rFonts w:hint="eastAsia"/>
                <w:b/>
                <w:bCs/>
              </w:rPr>
              <w:t>  </w:t>
            </w:r>
            <w:r>
              <w:rPr>
                <w:rFonts w:hint="eastAsia" w:ascii="仿宋" w:hAnsi="仿宋" w:eastAsia="仿宋"/>
                <w:b/>
                <w:bCs/>
              </w:rPr>
              <w:t>年</w:t>
            </w:r>
            <w:r>
              <w:rPr>
                <w:rFonts w:hint="eastAsia"/>
                <w:b/>
                <w:bCs/>
              </w:rPr>
              <w:t>        </w:t>
            </w:r>
            <w:r>
              <w:rPr>
                <w:rFonts w:hint="eastAsia" w:ascii="仿宋" w:hAnsi="仿宋" w:eastAsia="仿宋"/>
                <w:b/>
                <w:bCs/>
              </w:rPr>
              <w:t>月</w:t>
            </w:r>
            <w:r>
              <w:rPr>
                <w:rFonts w:hint="eastAsia"/>
                <w:b/>
                <w:bCs/>
              </w:rPr>
              <w:t>        </w:t>
            </w:r>
            <w:r>
              <w:rPr>
                <w:rFonts w:hint="eastAsia" w:ascii="仿宋" w:hAnsi="仿宋" w:eastAsia="仿宋"/>
                <w:b/>
                <w:bCs/>
              </w:rPr>
              <w:t>日</w:t>
            </w:r>
            <w:r>
              <w:rPr>
                <w:rFonts w:hint="eastAsia"/>
                <w:b/>
                <w:bCs/>
              </w:rPr>
              <w:t>  </w:t>
            </w:r>
          </w:p>
        </w:tc>
      </w:tr>
    </w:tbl>
    <w:p w14:paraId="303B04F8">
      <w:pPr>
        <w:rPr>
          <w:vanish/>
        </w:rPr>
      </w:pPr>
    </w:p>
    <w:tbl>
      <w:tblPr>
        <w:tblStyle w:val="8"/>
        <w:tblW w:w="0" w:type="dxa"/>
        <w:tblCellSpacing w:w="0" w:type="dxa"/>
        <w:tblInd w:w="21600" w:type="dxa"/>
        <w:tblLayout w:type="autofit"/>
        <w:tblCellMar>
          <w:top w:w="0" w:type="dxa"/>
          <w:left w:w="0" w:type="dxa"/>
          <w:bottom w:w="0" w:type="dxa"/>
          <w:right w:w="0" w:type="dxa"/>
        </w:tblCellMar>
      </w:tblPr>
      <w:tblGrid/>
      <w:tr w14:paraId="709A2075">
        <w:tblPrEx>
          <w:tblCellMar>
            <w:top w:w="0" w:type="dxa"/>
            <w:left w:w="0" w:type="dxa"/>
            <w:bottom w:w="0" w:type="dxa"/>
            <w:right w:w="0" w:type="dxa"/>
          </w:tblCellMar>
        </w:tblPrEx>
        <w:trPr>
          <w:tblCellSpacing w:w="0" w:type="dxa"/>
        </w:trPr>
        <w:tc>
          <w:tcPr>
            <w:tcW w:w="0" w:type="auto"/>
            <w:gridSpan w:val="0"/>
            <w:noWrap w:val="0"/>
            <w:vAlign w:val="center"/>
          </w:tcPr>
          <w:p w14:paraId="2876FF36">
            <w:pPr>
              <w:pStyle w:val="6"/>
            </w:pPr>
            <w:r>
              <w:drawing>
                <wp:inline distT="0" distB="0" distL="114300" distR="114300">
                  <wp:extent cx="1714500" cy="428625"/>
                  <wp:effectExtent l="0" t="0" r="7620" b="13335"/>
                  <wp:docPr id="1" name="图片 3" descr="说明: http://114.220.75.43:1007/assets/img/item_declare_exportword_schoollogo_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说明: http://114.220.75.43:1007/assets/img/item_declare_exportword_schoollogo_header.png"/>
                          <pic:cNvPicPr>
                            <a:picLocks noChangeAspect="1"/>
                          </pic:cNvPicPr>
                        </pic:nvPicPr>
                        <pic:blipFill>
                          <a:blip r:link="rId7"/>
                          <a:stretch>
                            <a:fillRect/>
                          </a:stretch>
                        </pic:blipFill>
                        <pic:spPr>
                          <a:xfrm>
                            <a:off x="0" y="0"/>
                            <a:ext cx="1714500" cy="428625"/>
                          </a:xfrm>
                          <a:prstGeom prst="rect">
                            <a:avLst/>
                          </a:prstGeom>
                          <a:noFill/>
                          <a:ln>
                            <a:noFill/>
                          </a:ln>
                        </pic:spPr>
                      </pic:pic>
                    </a:graphicData>
                  </a:graphic>
                </wp:inline>
              </w:drawing>
            </w:r>
          </w:p>
        </w:tc>
        <w:tc>
          <w:tcPr>
            <w:tcW w:w="0" w:type="auto"/>
            <w:gridSpan w:val="0"/>
            <w:noWrap w:val="0"/>
            <w:vAlign w:val="center"/>
          </w:tcPr>
          <w:p w14:paraId="5F6585A6">
            <w:pPr>
              <w:pStyle w:val="5"/>
              <w:jc w:val="center"/>
            </w:pPr>
            <w:r>
              <w:rPr>
                <w:rFonts w:hint="eastAsia"/>
              </w:rPr>
              <w:fldChar w:fldCharType="begin"/>
            </w:r>
            <w:r>
              <w:rPr>
                <w:rFonts w:hint="eastAsia"/>
              </w:rPr>
              <w:instrText xml:space="preserve">PAGE</w:instrText>
            </w:r>
            <w:r>
              <w:fldChar w:fldCharType="separate"/>
            </w:r>
            <w:r>
              <w:t>8</w:t>
            </w:r>
            <w:r>
              <w:rPr>
                <w:rFonts w:hint="eastAsia"/>
              </w:rPr>
              <w:fldChar w:fldCharType="end"/>
            </w:r>
            <w:r>
              <w:rPr>
                <w:rFonts w:hint="eastAsia"/>
              </w:rPr>
              <w:t xml:space="preserve"> / </w:t>
            </w:r>
            <w:r>
              <w:rPr>
                <w:rFonts w:hint="eastAsia"/>
              </w:rPr>
              <w:fldChar w:fldCharType="begin"/>
            </w:r>
            <w:r>
              <w:rPr>
                <w:rFonts w:hint="eastAsia"/>
              </w:rPr>
              <w:instrText xml:space="preserve">NUMPAGES</w:instrText>
            </w:r>
            <w:r>
              <w:fldChar w:fldCharType="separate"/>
            </w:r>
            <w:r>
              <w:t>8</w:t>
            </w:r>
            <w:r>
              <w:rPr>
                <w:rFonts w:hint="eastAsia"/>
              </w:rPr>
              <w:fldChar w:fldCharType="end"/>
            </w:r>
            <w:r>
              <w:rPr>
                <w:rFonts w:hint="eastAsia"/>
              </w:rPr>
              <w:t xml:space="preserve"> </w:t>
            </w:r>
          </w:p>
        </w:tc>
      </w:tr>
    </w:tbl>
    <w:p w14:paraId="2C8E1A75">
      <w:pPr>
        <w:rPr>
          <w:rFonts w:hint="eastAsia"/>
        </w:rPr>
      </w:pPr>
    </w:p>
    <w:sectPr>
      <w:headerReference r:id="rId3" w:type="first"/>
      <w:footerReference r:id="rId5" w:type="first"/>
      <w:footerReference r:id="rId4" w:type="default"/>
      <w:pgSz w:w="12240" w:h="15840"/>
      <w:pgMar w:top="1440" w:right="1440" w:bottom="1440" w:left="1440" w:header="720" w:footer="720"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5DA4A">
    <w:pPr>
      <w:pStyle w:val="5"/>
      <w:jc w:val="center"/>
    </w:pPr>
    <w:r>
      <w:rPr>
        <w:rFonts w:hint="eastAsia"/>
      </w:rPr>
      <w:fldChar w:fldCharType="begin"/>
    </w:r>
    <w:r>
      <w:rPr>
        <w:rFonts w:hint="eastAsia"/>
      </w:rPr>
      <w:instrText xml:space="preserve">PAGE</w:instrText>
    </w:r>
    <w:r>
      <w:fldChar w:fldCharType="separate"/>
    </w:r>
    <w:r>
      <w:t>3</w:t>
    </w:r>
    <w:r>
      <w:rPr>
        <w:rFonts w:hint="eastAsia"/>
      </w:rPr>
      <w:fldChar w:fldCharType="end"/>
    </w:r>
    <w:r>
      <w:rPr>
        <w:rFonts w:hint="eastAsia"/>
      </w:rPr>
      <w:t xml:space="preserve"> / </w:t>
    </w:r>
    <w:r>
      <w:rPr>
        <w:rFonts w:hint="eastAsia"/>
      </w:rPr>
      <w:fldChar w:fldCharType="begin"/>
    </w:r>
    <w:r>
      <w:rPr>
        <w:rFonts w:hint="eastAsia"/>
      </w:rPr>
      <w:instrText xml:space="preserve">NUMPAGES</w:instrText>
    </w:r>
    <w:r>
      <w:fldChar w:fldCharType="separate"/>
    </w:r>
    <w:r>
      <w:t>3</w:t>
    </w:r>
    <w:r>
      <w:rPr>
        <w:rFonts w:hint="eastAsia"/>
      </w:rPr>
      <w:fldChar w:fldCharType="end"/>
    </w: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C8F32">
    <w:pPr>
      <w:pStyle w:val="5"/>
      <w:jc w:val="center"/>
    </w:pPr>
    <w:r>
      <w:rPr>
        <w:rFonts w:hint="eastAsia"/>
      </w:rPr>
      <w:fldChar w:fldCharType="begin"/>
    </w:r>
    <w:r>
      <w:rPr>
        <w:rFonts w:hint="eastAsia"/>
      </w:rPr>
      <w:instrText xml:space="preserve">PAGE</w:instrText>
    </w:r>
    <w:r>
      <w:fldChar w:fldCharType="separate"/>
    </w:r>
    <w:r>
      <w:t>1</w:t>
    </w:r>
    <w:r>
      <w:rPr>
        <w:rFonts w:hint="eastAsia"/>
      </w:rPr>
      <w:fldChar w:fldCharType="end"/>
    </w:r>
    <w:r>
      <w:rPr>
        <w:rFonts w:hint="eastAsia"/>
      </w:rPr>
      <w:t xml:space="preserve"> / </w:t>
    </w:r>
    <w:r>
      <w:rPr>
        <w:rFonts w:hint="eastAsia"/>
      </w:rPr>
      <w:fldChar w:fldCharType="begin"/>
    </w:r>
    <w:r>
      <w:rPr>
        <w:rFonts w:hint="eastAsia"/>
      </w:rPr>
      <w:instrText xml:space="preserve">NUMPAGES</w:instrText>
    </w:r>
    <w:r>
      <w:fldChar w:fldCharType="separate"/>
    </w:r>
    <w:r>
      <w:t>3</w:t>
    </w:r>
    <w:r>
      <w:rPr>
        <w:rFonts w:hint="eastAsia"/>
      </w:rPr>
      <w:fldChar w:fldCharType="end"/>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28227">
    <w:pPr>
      <w:pStyle w:val="6"/>
      <w:tabs>
        <w:tab w:val="left" w:pos="3270"/>
      </w:tab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0"/>
  <w:bordersDoNotSurroundFooter w:val="0"/>
  <w:documentProtection w:enforcement="0"/>
  <w:defaultTabStop w:val="420"/>
  <w:hyphenationZone w:val="36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0996"/>
    <w:rsid w:val="002C2CCC"/>
    <w:rsid w:val="003C5A80"/>
    <w:rsid w:val="00504368"/>
    <w:rsid w:val="006C0996"/>
    <w:rsid w:val="00774678"/>
    <w:rsid w:val="00BA0B92"/>
    <w:rsid w:val="04BF41D9"/>
    <w:rsid w:val="4A0C2CEC"/>
    <w:rsid w:val="4FF123EE"/>
    <w:rsid w:val="5E630C81"/>
    <w:rsid w:val="73AF178A"/>
    <w:rsid w:val="745034B1"/>
    <w:rsid w:val="7AC44CF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4"/>
    <w:basedOn w:val="1"/>
    <w:link w:val="10"/>
    <w:qFormat/>
    <w:uiPriority w:val="9"/>
    <w:pPr>
      <w:spacing w:before="100" w:beforeAutospacing="1" w:after="100" w:afterAutospacing="1"/>
      <w:outlineLvl w:val="3"/>
    </w:pPr>
    <w:rPr>
      <w:b/>
      <w:bCs/>
    </w:rPr>
  </w:style>
  <w:style w:type="paragraph" w:styleId="3">
    <w:name w:val="heading 5"/>
    <w:basedOn w:val="1"/>
    <w:link w:val="11"/>
    <w:qFormat/>
    <w:uiPriority w:val="9"/>
    <w:pPr>
      <w:spacing w:before="100" w:beforeAutospacing="1" w:after="100" w:afterAutospacing="1"/>
      <w:outlineLvl w:val="4"/>
    </w:pPr>
    <w:rPr>
      <w:b/>
      <w:bCs/>
      <w:sz w:val="20"/>
      <w:szCs w:val="20"/>
    </w:rPr>
  </w:style>
  <w:style w:type="character" w:default="1" w:styleId="9">
    <w:name w:val="Default Paragraph Font"/>
    <w:unhideWhenUsed/>
    <w:uiPriority w:val="1"/>
  </w:style>
  <w:style w:type="table" w:default="1" w:styleId="8">
    <w:name w:val="Normal Table"/>
    <w:unhideWhenUsed/>
    <w:uiPriority w:val="99"/>
    <w:tblPr>
      <w:tblCellMar>
        <w:top w:w="0" w:type="dxa"/>
        <w:left w:w="108" w:type="dxa"/>
        <w:bottom w:w="0" w:type="dxa"/>
        <w:right w:w="108" w:type="dxa"/>
      </w:tblCellMar>
    </w:tblPr>
  </w:style>
  <w:style w:type="paragraph" w:styleId="4">
    <w:name w:val="Balloon Text"/>
    <w:basedOn w:val="1"/>
    <w:link w:val="12"/>
    <w:unhideWhenUsed/>
    <w:qFormat/>
    <w:uiPriority w:val="99"/>
    <w:rPr>
      <w:sz w:val="18"/>
      <w:szCs w:val="18"/>
    </w:rPr>
  </w:style>
  <w:style w:type="paragraph" w:styleId="5">
    <w:name w:val="footer"/>
    <w:basedOn w:val="1"/>
    <w:link w:val="13"/>
    <w:unhideWhenUsed/>
    <w:qFormat/>
    <w:uiPriority w:val="99"/>
    <w:pPr>
      <w:tabs>
        <w:tab w:val="center" w:pos="4320"/>
        <w:tab w:val="right" w:pos="8640"/>
      </w:tabs>
    </w:pPr>
  </w:style>
  <w:style w:type="paragraph" w:styleId="6">
    <w:name w:val="header"/>
    <w:basedOn w:val="1"/>
    <w:link w:val="14"/>
    <w:unhideWhenUsed/>
    <w:uiPriority w:val="99"/>
    <w:pPr>
      <w:spacing w:before="100" w:beforeAutospacing="1" w:after="100" w:afterAutospacing="1"/>
    </w:pPr>
  </w:style>
  <w:style w:type="paragraph" w:styleId="7">
    <w:name w:val="Normal (Web)"/>
    <w:basedOn w:val="1"/>
    <w:unhideWhenUsed/>
    <w:qFormat/>
    <w:uiPriority w:val="99"/>
    <w:rPr>
      <w:sz w:val="24"/>
    </w:rPr>
  </w:style>
  <w:style w:type="character" w:customStyle="1" w:styleId="10">
    <w:name w:val="标题 4 字符"/>
    <w:link w:val="2"/>
    <w:semiHidden/>
    <w:qFormat/>
    <w:uiPriority w:val="9"/>
    <w:rPr>
      <w:rFonts w:ascii="Cambria" w:hAnsi="Cambria" w:eastAsia="宋体" w:cs="Times New Roman"/>
      <w:b/>
      <w:bCs/>
      <w:sz w:val="28"/>
      <w:szCs w:val="28"/>
    </w:rPr>
  </w:style>
  <w:style w:type="character" w:customStyle="1" w:styleId="11">
    <w:name w:val="标题 5 字符"/>
    <w:link w:val="3"/>
    <w:semiHidden/>
    <w:qFormat/>
    <w:uiPriority w:val="9"/>
    <w:rPr>
      <w:rFonts w:ascii="宋体" w:hAnsi="宋体" w:eastAsia="宋体" w:cs="宋体"/>
      <w:b/>
      <w:bCs/>
      <w:sz w:val="28"/>
      <w:szCs w:val="28"/>
    </w:rPr>
  </w:style>
  <w:style w:type="character" w:customStyle="1" w:styleId="12">
    <w:name w:val="批注框文本 字符"/>
    <w:link w:val="4"/>
    <w:semiHidden/>
    <w:qFormat/>
    <w:uiPriority w:val="99"/>
    <w:rPr>
      <w:rFonts w:ascii="宋体" w:hAnsi="宋体" w:eastAsia="宋体" w:cs="宋体"/>
      <w:sz w:val="18"/>
      <w:szCs w:val="18"/>
    </w:rPr>
  </w:style>
  <w:style w:type="character" w:customStyle="1" w:styleId="13">
    <w:name w:val="页脚 字符"/>
    <w:link w:val="5"/>
    <w:qFormat/>
    <w:uiPriority w:val="99"/>
    <w:rPr>
      <w:rFonts w:ascii="宋体" w:hAnsi="宋体" w:eastAsia="宋体" w:cs="宋体"/>
      <w:sz w:val="18"/>
      <w:szCs w:val="18"/>
    </w:rPr>
  </w:style>
  <w:style w:type="character" w:customStyle="1" w:styleId="14">
    <w:name w:val="页眉 字符"/>
    <w:link w:val="6"/>
    <w:uiPriority w:val="99"/>
    <w:rPr>
      <w:rFonts w:ascii="宋体" w:hAnsi="宋体" w:eastAsia="宋体" w:cs="宋体"/>
      <w:sz w:val="18"/>
      <w:szCs w:val="18"/>
    </w:rPr>
  </w:style>
  <w:style w:type="paragraph" w:customStyle="1" w:styleId="15">
    <w:name w:val="c-word--empty"/>
    <w:basedOn w:val="1"/>
    <w:qFormat/>
    <w:uiPriority w:val="0"/>
    <w:pPr>
      <w:spacing w:before="100" w:beforeAutospacing="1" w:after="100" w:afterAutospacing="1"/>
      <w:jc w:val="center"/>
    </w:pPr>
    <w:rPr>
      <w:color w:val="DDDDDD"/>
      <w:sz w:val="36"/>
      <w:szCs w:val="36"/>
    </w:rPr>
  </w:style>
  <w:style w:type="paragraph" w:customStyle="1" w:styleId="16">
    <w:name w:val="c-word--title"/>
    <w:basedOn w:val="1"/>
    <w:qFormat/>
    <w:uiPriority w:val="0"/>
    <w:pPr>
      <w:jc w:val="center"/>
    </w:pPr>
  </w:style>
  <w:style w:type="paragraph" w:customStyle="1" w:styleId="17">
    <w:name w:val="text-center"/>
    <w:basedOn w:val="1"/>
    <w:uiPriority w:val="0"/>
    <w:pPr>
      <w:spacing w:before="100" w:beforeAutospacing="1" w:after="100" w:afterAutospacing="1"/>
      <w:jc w:val="center"/>
    </w:pPr>
  </w:style>
  <w:style w:type="paragraph" w:customStyle="1" w:styleId="18">
    <w:name w:val="c-jieti-title"/>
    <w:basedOn w:val="1"/>
    <w:qFormat/>
    <w:uiPriority w:val="0"/>
    <w:pPr>
      <w:spacing w:before="100" w:beforeAutospacing="1" w:after="100" w:afterAutospacing="1"/>
    </w:pPr>
  </w:style>
  <w:style w:type="paragraph" w:customStyle="1" w:styleId="19">
    <w:name w:val="c-jieti-content"/>
    <w:basedOn w:val="1"/>
    <w:qFormat/>
    <w:uiPriority w:val="0"/>
    <w:pPr>
      <w:spacing w:before="100" w:beforeAutospacing="1" w:after="100" w:afterAutospacing="1"/>
    </w:pPr>
  </w:style>
  <w:style w:type="paragraph" w:customStyle="1" w:styleId="20">
    <w:name w:val="word-logo"/>
    <w:basedOn w:val="1"/>
    <w:uiPriority w:val="0"/>
    <w:pPr>
      <w:spacing w:before="100" w:beforeAutospacing="1" w:after="100" w:afterAutospacing="1"/>
    </w:pPr>
  </w:style>
  <w:style w:type="paragraph" w:customStyle="1" w:styleId="21">
    <w:name w:val="word-title1"/>
    <w:basedOn w:val="1"/>
    <w:qFormat/>
    <w:uiPriority w:val="0"/>
    <w:pPr>
      <w:spacing w:before="100" w:beforeAutospacing="1" w:after="100" w:afterAutospacing="1"/>
    </w:pPr>
  </w:style>
  <w:style w:type="paragraph" w:customStyle="1" w:styleId="22">
    <w:name w:val="c-base-info-title"/>
    <w:basedOn w:val="1"/>
    <w:qFormat/>
    <w:uiPriority w:val="0"/>
    <w:pPr>
      <w:spacing w:before="100" w:beforeAutospacing="1" w:after="100" w:afterAutospacing="1"/>
    </w:pPr>
  </w:style>
  <w:style w:type="paragraph" w:customStyle="1" w:styleId="23">
    <w:name w:val="c-base-info-content"/>
    <w:basedOn w:val="1"/>
    <w:qFormat/>
    <w:uiPriority w:val="0"/>
    <w:pPr>
      <w:spacing w:before="100" w:beforeAutospacing="1" w:after="100" w:afterAutospacing="1"/>
    </w:pPr>
  </w:style>
  <w:style w:type="paragraph" w:customStyle="1" w:styleId="24">
    <w:name w:val="c-yijian-sign"/>
    <w:basedOn w:val="1"/>
    <w:qFormat/>
    <w:uiPriority w:val="0"/>
    <w:pPr>
      <w:spacing w:before="100" w:beforeAutospacing="1" w:after="100" w:afterAutospacing="1"/>
    </w:pPr>
  </w:style>
  <w:style w:type="paragraph" w:customStyle="1" w:styleId="25">
    <w:name w:val="c-yijian-content"/>
    <w:basedOn w:val="1"/>
    <w:qFormat/>
    <w:uiPriority w:val="0"/>
    <w:pPr>
      <w:spacing w:before="100" w:beforeAutospacing="1" w:after="100" w:afterAutospacing="1"/>
    </w:pPr>
  </w:style>
  <w:style w:type="paragraph" w:customStyle="1" w:styleId="26">
    <w:name w:val="c-jieti-child"/>
    <w:basedOn w:val="1"/>
    <w:qFormat/>
    <w:uiPriority w:val="0"/>
    <w:pPr>
      <w:spacing w:before="100" w:beforeAutospacing="1" w:after="100" w:afterAutospacing="1"/>
    </w:pPr>
  </w:style>
  <w:style w:type="paragraph" w:customStyle="1" w:styleId="27">
    <w:name w:val="c-jieti-child-title"/>
    <w:basedOn w:val="1"/>
    <w:qFormat/>
    <w:uiPriority w:val="0"/>
    <w:pPr>
      <w:spacing w:before="100" w:beforeAutospacing="1" w:after="100" w:afterAutospacing="1"/>
    </w:pPr>
  </w:style>
  <w:style w:type="paragraph" w:customStyle="1" w:styleId="28">
    <w:name w:val="c-jieti-child-content"/>
    <w:basedOn w:val="1"/>
    <w:qFormat/>
    <w:uiPriority w:val="0"/>
    <w:pPr>
      <w:spacing w:before="100" w:beforeAutospacing="1" w:after="100" w:afterAutospacing="1"/>
    </w:pPr>
  </w:style>
  <w:style w:type="paragraph" w:customStyle="1" w:styleId="29">
    <w:name w:val="word-logo1"/>
    <w:basedOn w:val="1"/>
    <w:qFormat/>
    <w:uiPriority w:val="0"/>
    <w:pPr>
      <w:spacing w:before="200" w:after="200"/>
      <w:jc w:val="center"/>
    </w:pPr>
  </w:style>
  <w:style w:type="paragraph" w:customStyle="1" w:styleId="30">
    <w:name w:val="word-title11"/>
    <w:basedOn w:val="1"/>
    <w:qFormat/>
    <w:uiPriority w:val="0"/>
    <w:pPr>
      <w:spacing w:before="200" w:after="400"/>
      <w:jc w:val="center"/>
    </w:pPr>
    <w:rPr>
      <w:rFonts w:ascii="黑体" w:hAnsi="黑体" w:eastAsia="黑体"/>
      <w:sz w:val="52"/>
      <w:szCs w:val="52"/>
    </w:rPr>
  </w:style>
  <w:style w:type="paragraph" w:customStyle="1" w:styleId="31">
    <w:name w:val="c-base-info-title1"/>
    <w:basedOn w:val="1"/>
    <w:qFormat/>
    <w:uiPriority w:val="0"/>
    <w:pPr>
      <w:keepNext/>
      <w:spacing w:before="100" w:beforeAutospacing="1" w:after="100" w:afterAutospacing="1" w:line="600" w:lineRule="atLeast"/>
      <w:textAlignment w:val="center"/>
    </w:pPr>
    <w:rPr>
      <w:rFonts w:ascii="黑体" w:hAnsi="黑体" w:eastAsia="黑体"/>
      <w:sz w:val="28"/>
      <w:szCs w:val="28"/>
    </w:rPr>
  </w:style>
  <w:style w:type="paragraph" w:customStyle="1" w:styleId="32">
    <w:name w:val="c-base-info-content1"/>
    <w:basedOn w:val="1"/>
    <w:qFormat/>
    <w:uiPriority w:val="0"/>
    <w:pPr>
      <w:spacing w:before="20" w:after="20"/>
    </w:pPr>
  </w:style>
  <w:style w:type="paragraph" w:customStyle="1" w:styleId="33">
    <w:name w:val="c-jieti-title1"/>
    <w:basedOn w:val="1"/>
    <w:qFormat/>
    <w:uiPriority w:val="0"/>
    <w:pPr>
      <w:spacing w:before="120" w:after="120" w:line="400" w:lineRule="atLeast"/>
      <w:ind w:firstLine="480"/>
      <w:textAlignment w:val="center"/>
    </w:pPr>
    <w:rPr>
      <w:b/>
      <w:bCs/>
    </w:rPr>
  </w:style>
  <w:style w:type="paragraph" w:customStyle="1" w:styleId="34">
    <w:name w:val="c-jieti-content1"/>
    <w:basedOn w:val="1"/>
    <w:qFormat/>
    <w:uiPriority w:val="0"/>
    <w:pPr>
      <w:spacing w:before="240" w:after="480" w:line="480" w:lineRule="atLeast"/>
      <w:ind w:left="80" w:right="80" w:firstLine="480"/>
    </w:pPr>
  </w:style>
  <w:style w:type="paragraph" w:customStyle="1" w:styleId="35">
    <w:name w:val="c-jieti-child1"/>
    <w:basedOn w:val="1"/>
    <w:qFormat/>
    <w:uiPriority w:val="0"/>
    <w:pPr>
      <w:spacing w:before="100" w:beforeAutospacing="1" w:after="100" w:afterAutospacing="1"/>
    </w:pPr>
  </w:style>
  <w:style w:type="paragraph" w:customStyle="1" w:styleId="36">
    <w:name w:val="c-jieti-child-title1"/>
    <w:basedOn w:val="1"/>
    <w:qFormat/>
    <w:uiPriority w:val="0"/>
    <w:pPr>
      <w:spacing w:before="60" w:after="60"/>
      <w:ind w:firstLine="480"/>
    </w:pPr>
    <w:rPr>
      <w:rFonts w:ascii="仿宋" w:hAnsi="仿宋" w:eastAsia="仿宋"/>
    </w:rPr>
  </w:style>
  <w:style w:type="paragraph" w:customStyle="1" w:styleId="37">
    <w:name w:val="c-jieti-child-content1"/>
    <w:basedOn w:val="1"/>
    <w:qFormat/>
    <w:uiPriority w:val="0"/>
    <w:pPr>
      <w:spacing w:before="60" w:after="60"/>
      <w:ind w:left="480" w:right="480" w:firstLine="480"/>
    </w:pPr>
  </w:style>
  <w:style w:type="paragraph" w:customStyle="1" w:styleId="38">
    <w:name w:val="c-yijian-sign1"/>
    <w:basedOn w:val="1"/>
    <w:qFormat/>
    <w:uiPriority w:val="0"/>
    <w:pPr>
      <w:spacing w:before="240" w:after="40"/>
      <w:ind w:right="800"/>
      <w:jc w:val="right"/>
    </w:pPr>
    <w:rPr>
      <w:rFonts w:ascii="仿宋" w:hAnsi="仿宋" w:eastAsia="仿宋"/>
      <w:b/>
      <w:bCs/>
    </w:rPr>
  </w:style>
  <w:style w:type="paragraph" w:customStyle="1" w:styleId="39">
    <w:name w:val="c-yijian-content1"/>
    <w:basedOn w:val="1"/>
    <w:qFormat/>
    <w:uiPriority w:val="0"/>
    <w:pPr>
      <w:spacing w:before="240" w:after="240"/>
      <w:ind w:left="240" w:right="240"/>
    </w:pPr>
  </w:style>
  <w:style w:type="character" w:customStyle="1" w:styleId="40">
    <w:name w:val="16"/>
    <w:qFormat/>
    <w:uiPriority w:val="0"/>
  </w:style>
  <w:style w:type="paragraph" w:customStyle="1" w:styleId="41">
    <w:name w:val="p"/>
    <w:basedOn w:val="1"/>
    <w:qFormat/>
    <w:uiPriority w:val="0"/>
    <w:pPr>
      <w:spacing w:before="100" w:beforeAutospacing="1" w:after="100" w:afterAutospacing="1"/>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http://114.220.75.43:1007/assets/img/item_declare_exportword_schoollogo_header.png" TargetMode="Externa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IT</Company>
  <Pages>12</Pages>
  <Words>3590</Words>
  <Characters>3741</Characters>
  <Lines>5</Lines>
  <Paragraphs>1</Paragraphs>
  <TotalTime>9</TotalTime>
  <ScaleCrop>false</ScaleCrop>
  <LinksUpToDate>false</LinksUpToDate>
  <CharactersWithSpaces>3875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2025-05-15T04:00:00Z</dcterms:created>
  <dc:creator>IT Division</dc:creator>
  <cp:lastModifiedBy>kirito</cp:lastModifiedBy>
  <cp:lastPrinted>2021-05-12T09:47:00Z</cp:lastPrinted>
  <dcterms:modified xsi:type="dcterms:W3CDTF">2025-05-24T16:19:39Z</dcterms:modified>
  <dc:title>广东海洋大学_基于物联网的柑橘木虱监测技术研究_结题报告_2021年05月12日17时47分42秒</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7B8D1BBA33C44FCEA6CB4D8F8AE9BC24_13</vt:lpwstr>
  </property>
  <property fmtid="{D5CDD505-2E9C-101B-9397-08002B2CF9AE}" pid="4" name="KSOTemplateDocerSaveRecord">
    <vt:lpwstr>eyJoZGlkIjoiZjRjNWI4Y2Y4MTQ4YTRiYjRkNjU5MzNhNzAwOWU0MmQiLCJ1c2VySWQiOiI4NzQxODgzNjMifQ==</vt:lpwstr>
  </property>
</Properties>
</file>