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w:t>
      </w:r>
      <w:proofErr w:type="spellStart"/>
      <w:r>
        <w:t>Siri</w:t>
      </w:r>
      <w:proofErr w:type="spellEnd"/>
      <w:r>
        <w:t xml:space="preserve">,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145A68C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 xml:space="preserve">Accessibilité et </w:t>
      </w:r>
      <w:proofErr w:type="spellStart"/>
      <w:r>
        <w:t>inclusivité</w:t>
      </w:r>
      <w:proofErr w:type="spellEnd"/>
      <w:r>
        <w:t xml:space="preserve">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086BD7EB" w:rsidR="006C25CE" w:rsidRPr="00A573B4" w:rsidRDefault="006C25CE" w:rsidP="006C25CE">
      <w:pPr>
        <w:ind w:firstLine="708"/>
        <w:rPr>
          <w:sz w:val="28"/>
        </w:rPr>
      </w:pPr>
      <w:r w:rsidRPr="006C25CE">
        <w:rPr>
          <w:sz w:val="28"/>
        </w:rPr>
        <w:t>5. Résultats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w:t>
      </w:r>
      <w:bookmarkStart w:id="0" w:name="_GoBack"/>
      <w:bookmarkEnd w:id="0"/>
      <w:r w:rsidRPr="006C25CE">
        <w:rPr>
          <w:sz w:val="28"/>
        </w:rPr>
        <w:t>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5F8E"/>
    <w:rsid w:val="001F7D55"/>
    <w:rsid w:val="003F005A"/>
    <w:rsid w:val="00427BFD"/>
    <w:rsid w:val="004C3785"/>
    <w:rsid w:val="004F43B0"/>
    <w:rsid w:val="00551F8E"/>
    <w:rsid w:val="005A5EFB"/>
    <w:rsid w:val="0065062E"/>
    <w:rsid w:val="006C25CE"/>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573B4"/>
    <w:rsid w:val="00A86171"/>
    <w:rsid w:val="00AB7031"/>
    <w:rsid w:val="00AE1AE3"/>
    <w:rsid w:val="00B109D8"/>
    <w:rsid w:val="00B514D2"/>
    <w:rsid w:val="00B80526"/>
    <w:rsid w:val="00B8392D"/>
    <w:rsid w:val="00B83A48"/>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F6FA-7C35-4097-9FAC-50C987F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21</Pages>
  <Words>3429</Words>
  <Characters>19547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7</cp:revision>
  <dcterms:created xsi:type="dcterms:W3CDTF">2024-04-25T13:46:00Z</dcterms:created>
  <dcterms:modified xsi:type="dcterms:W3CDTF">2024-04-28T23:51:00Z</dcterms:modified>
</cp:coreProperties>
</file>