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CFB39" w14:textId="7E3DC41A" w:rsidR="00B514D2" w:rsidRDefault="00B514D2" w:rsidP="00B514D2">
      <w:pPr>
        <w:rPr>
          <w:noProof/>
        </w:rPr>
      </w:pPr>
      <w:r>
        <w:rPr>
          <w:noProof/>
          <w:lang w:val="en-US"/>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19767EB9" w14:textId="19175BD9"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lastRenderedPageBreak/>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1D8266ED" w:rsidR="00845FD4" w:rsidRDefault="00845FD4" w:rsidP="00900FE7">
      <w:pPr>
        <w:ind w:left="708"/>
      </w:pPr>
      <w:r>
        <w:t xml:space="preserve"> 4.</w:t>
      </w:r>
      <w:r w:rsidR="007F1366" w:rsidRPr="007F1366">
        <w:rPr>
          <w:kern w:val="0"/>
          <w14:ligatures w14:val="none"/>
        </w:rPr>
        <w:t xml:space="preserve"> </w:t>
      </w:r>
      <w:r w:rsidR="007F1366">
        <w:rPr>
          <w:kern w:val="0"/>
          <w14:ligatures w14:val="none"/>
        </w:rPr>
        <w:t xml:space="preserve">1. Collecte et prétraitement des données vocales </w:t>
      </w:r>
    </w:p>
    <w:p w14:paraId="7FFFBD57" w14:textId="5667325E" w:rsidR="00845FD4" w:rsidRDefault="00845FD4" w:rsidP="007F1366">
      <w:pPr>
        <w:ind w:firstLine="708"/>
      </w:pPr>
      <w:r>
        <w:t xml:space="preserve"> 4.</w:t>
      </w:r>
      <w:r w:rsidR="007F1366" w:rsidRPr="007F1366">
        <w:t xml:space="preserve"> </w:t>
      </w:r>
      <w:r w:rsidR="007F1366">
        <w:t xml:space="preserve">2. Développement de l'interface utilisateur vocale </w:t>
      </w:r>
    </w:p>
    <w:p w14:paraId="172B5911" w14:textId="4931E766" w:rsidR="007F1366" w:rsidRDefault="007F1366" w:rsidP="007F1366">
      <w:r>
        <w:t xml:space="preserve">          </w:t>
      </w:r>
      <w:r>
        <w:tab/>
        <w:t xml:space="preserve"> 4.</w:t>
      </w:r>
      <w:r w:rsidR="00845FD4">
        <w:t xml:space="preserve"> </w:t>
      </w:r>
      <w:r>
        <w:t xml:space="preserve">3. Intégration des fonctionnalités de commande vocale </w:t>
      </w:r>
    </w:p>
    <w:p w14:paraId="27A2D7F9" w14:textId="4C40A3F0" w:rsidR="007F1366" w:rsidRDefault="00845FD4" w:rsidP="007F1366">
      <w:pPr>
        <w:ind w:firstLine="708"/>
      </w:pPr>
      <w:r>
        <w:t>4.</w:t>
      </w:r>
      <w:r w:rsidR="007F1366" w:rsidRPr="007F1366">
        <w:t xml:space="preserve"> </w:t>
      </w:r>
      <w:r w:rsidR="007F1366">
        <w:t xml:space="preserve">4. Intégration de la recherche vocale et de la réponse </w:t>
      </w:r>
    </w:p>
    <w:p w14:paraId="284A483D" w14:textId="6F905E95" w:rsidR="007F1366" w:rsidRDefault="007F1366" w:rsidP="007F1366">
      <w:pPr>
        <w:ind w:firstLine="708"/>
      </w:pPr>
      <w:r>
        <w:t>4.</w:t>
      </w:r>
      <w:r w:rsidRPr="007F1366">
        <w:t xml:space="preserve"> </w:t>
      </w:r>
      <w:r>
        <w:t xml:space="preserve">5. Implémentation de la synthèse vocale </w:t>
      </w:r>
    </w:p>
    <w:p w14:paraId="6CB63485" w14:textId="65EF47D0" w:rsidR="00900FE7" w:rsidRDefault="00900FE7" w:rsidP="00900FE7">
      <w:pPr>
        <w:ind w:firstLine="708"/>
      </w:pPr>
    </w:p>
    <w:p w14:paraId="4694FBB6" w14:textId="2CCCBAAC" w:rsidR="00845FD4" w:rsidRDefault="00845FD4" w:rsidP="00DD5CEB">
      <w:r>
        <w:t>V. Tests et évaluation</w:t>
      </w:r>
    </w:p>
    <w:p w14:paraId="33F72A50" w14:textId="5324613D" w:rsidR="00845FD4" w:rsidRDefault="00BA3D4C" w:rsidP="00BA3D4C">
      <w:pPr>
        <w:ind w:left="708"/>
      </w:pPr>
      <w:r>
        <w:t>5 .</w:t>
      </w:r>
      <w:r w:rsidRPr="00BA3D4C">
        <w:t>1. Jeux de données utilisés :</w:t>
      </w:r>
    </w:p>
    <w:p w14:paraId="3CFE7055" w14:textId="3824BE16" w:rsidR="00BA3D4C" w:rsidRDefault="00BA3D4C" w:rsidP="00BA3D4C">
      <w:pPr>
        <w:ind w:left="708"/>
      </w:pPr>
      <w:r>
        <w:t>5 .</w:t>
      </w:r>
      <w:r w:rsidRPr="00BA3D4C">
        <w:t>2. Préparation des données :</w:t>
      </w:r>
    </w:p>
    <w:p w14:paraId="31F529CD" w14:textId="749D25AF" w:rsidR="00BA3D4C" w:rsidRDefault="00BA3D4C" w:rsidP="00BA3D4C">
      <w:pPr>
        <w:ind w:left="708"/>
      </w:pPr>
      <w:r>
        <w:t>5 .</w:t>
      </w:r>
      <w:r w:rsidRPr="00BA3D4C">
        <w:t>3. Protocole de test :</w:t>
      </w:r>
    </w:p>
    <w:p w14:paraId="13DA3BEF" w14:textId="175CE5A9" w:rsidR="00BA3D4C" w:rsidRDefault="00BA3D4C" w:rsidP="00BA3D4C">
      <w:pPr>
        <w:ind w:left="708"/>
      </w:pPr>
      <w:r>
        <w:t>5 .</w:t>
      </w:r>
      <w:r w:rsidRPr="00BA3D4C">
        <w:t>4. Métriques de performance</w:t>
      </w:r>
      <w:r>
        <w:t> :</w:t>
      </w:r>
    </w:p>
    <w:p w14:paraId="7D1AB931" w14:textId="4EE2CE7C" w:rsidR="00BA3D4C" w:rsidRPr="00BA3D4C" w:rsidRDefault="00BA3D4C" w:rsidP="00BA3D4C">
      <w:pPr>
        <w:ind w:left="708"/>
      </w:pPr>
      <w:r>
        <w:t>5 .</w:t>
      </w:r>
      <w:r w:rsidRPr="00BA3D4C">
        <w:t>5. Résultats et analyse</w:t>
      </w:r>
      <w:r>
        <w:t> :</w:t>
      </w:r>
    </w:p>
    <w:p w14:paraId="2C1F0E30" w14:textId="77777777" w:rsidR="00845FD4" w:rsidRDefault="00845FD4" w:rsidP="00845FD4">
      <w:r>
        <w:t>VII. Conclusion &amp; perspectives</w:t>
      </w:r>
      <w:bookmarkStart w:id="0" w:name="_GoBack"/>
      <w:bookmarkEnd w:id="0"/>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lastRenderedPageBreak/>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41E993A9" w:rsidR="00845FD4" w:rsidRDefault="008A1958" w:rsidP="00845FD4">
      <w:r>
        <w:t>h</w:t>
      </w:r>
    </w:p>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lastRenderedPageBreak/>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lastRenderedPageBreak/>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lastRenderedPageBreak/>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41129A90">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lastRenderedPageBreak/>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357A0111" w14:textId="165F4C4E" w:rsidR="00B80526" w:rsidRDefault="00B80526" w:rsidP="00B80526">
      <w:pPr>
        <w:pStyle w:val="Titre"/>
        <w:rPr>
          <w:sz w:val="36"/>
          <w:szCs w:val="36"/>
        </w:rPr>
      </w:pPr>
      <w:r w:rsidRPr="00B80526">
        <w:rPr>
          <w:sz w:val="36"/>
          <w:szCs w:val="36"/>
        </w:rPr>
        <w:t>2.2. Historique et évolution des technologies vocales</w:t>
      </w:r>
    </w:p>
    <w:p w14:paraId="60FF0E7F" w14:textId="77777777" w:rsidR="00B80526" w:rsidRPr="00B80526" w:rsidRDefault="00B80526" w:rsidP="00B80526"/>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lastRenderedPageBreak/>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069DEBA3" w14:textId="0A86B8AD" w:rsid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2.3. Principaux acteurs et solutions sur le marché</w:t>
      </w:r>
    </w:p>
    <w:p w14:paraId="6D677420" w14:textId="77777777" w:rsidR="00B80526" w:rsidRPr="00B80526" w:rsidRDefault="00B80526" w:rsidP="00B80526">
      <w:pPr>
        <w:rPr>
          <w:rFonts w:asciiTheme="majorHAnsi" w:eastAsiaTheme="majorEastAsia" w:hAnsiTheme="majorHAnsi" w:cstheme="majorBidi"/>
          <w:spacing w:val="-10"/>
          <w:kern w:val="28"/>
          <w:sz w:val="36"/>
          <w:szCs w:val="36"/>
        </w:rPr>
      </w:pPr>
    </w:p>
    <w:p w14:paraId="2EC622ED" w14:textId="77777777" w:rsidR="00B80526" w:rsidRDefault="00B80526" w:rsidP="00B80526">
      <w:r>
        <w:t>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val="en-US"/>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val="en-US"/>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w:t>
      </w:r>
      <w:proofErr w:type="spellStart"/>
      <w:r>
        <w:t>Siri</w:t>
      </w:r>
      <w:proofErr w:type="spellEnd"/>
      <w:r>
        <w:t xml:space="preserve">,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smartphones et autres appareils électroniques.</w:t>
      </w:r>
    </w:p>
    <w:p w14:paraId="1A08C4A4" w14:textId="59C310A3" w:rsidR="00B80526" w:rsidRDefault="00B80526" w:rsidP="00B80526">
      <w:r>
        <w:rPr>
          <w:noProof/>
          <w:lang w:eastAsia="fr-FR"/>
        </w:rPr>
        <w:t xml:space="preserve">              </w:t>
      </w:r>
      <w:r>
        <w:rPr>
          <w:noProof/>
          <w:lang w:val="en-US"/>
        </w:rPr>
        <w:drawing>
          <wp:inline distT="0" distB="0" distL="0" distR="0" wp14:anchorId="06370AE5" wp14:editId="145A68C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val="en-US"/>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3EAD1DF2" w14:textId="19243278" w:rsidR="00B80526" w:rsidRDefault="00B80526" w:rsidP="00B80526">
      <w:r>
        <w:rPr>
          <w:noProof/>
          <w:lang w:eastAsia="fr-FR"/>
        </w:rPr>
        <w:t xml:space="preserve">                                             </w:t>
      </w:r>
    </w:p>
    <w:p w14:paraId="1262AC00" w14:textId="7CAAD509" w:rsidR="00B80526" w:rsidRDefault="00B80526" w:rsidP="00B80526">
      <w:r>
        <w:t xml:space="preserve">                                </w:t>
      </w:r>
    </w:p>
    <w:p w14:paraId="6E6D42BB" w14:textId="77777777" w:rsidR="00B80526" w:rsidRDefault="00B80526" w:rsidP="00B80526"/>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B80526" w:rsidRDefault="00B80526" w:rsidP="00B80526">
      <w:pPr>
        <w:rPr>
          <w:rFonts w:asciiTheme="majorHAnsi" w:eastAsiaTheme="majorEastAsia" w:hAnsiTheme="majorHAnsi" w:cstheme="majorBidi"/>
          <w:spacing w:val="-10"/>
          <w:kern w:val="28"/>
          <w:sz w:val="36"/>
          <w:szCs w:val="36"/>
        </w:rPr>
      </w:pPr>
      <w:r w:rsidRPr="00B80526">
        <w:rPr>
          <w:rFonts w:asciiTheme="majorHAnsi" w:eastAsiaTheme="majorEastAsia" w:hAnsiTheme="majorHAnsi" w:cstheme="majorBidi"/>
          <w:spacing w:val="-10"/>
          <w:kern w:val="28"/>
          <w:sz w:val="36"/>
          <w:szCs w:val="36"/>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 xml:space="preserve">Accessibilité et </w:t>
      </w:r>
      <w:proofErr w:type="spellStart"/>
      <w:r>
        <w:t>inclusivité</w:t>
      </w:r>
      <w:proofErr w:type="spellEnd"/>
      <w:r>
        <w:t xml:space="preserve">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lastRenderedPageBreak/>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lastRenderedPageBreak/>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4">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lastRenderedPageBreak/>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5">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lastRenderedPageBreak/>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t>5. Implémentation de la synthèse vocale :</w:t>
      </w:r>
    </w:p>
    <w:p w14:paraId="28061564" w14:textId="0C6F5B86" w:rsidR="007A52B4" w:rsidRDefault="007A52B4" w:rsidP="007A52B4"/>
    <w:p w14:paraId="2716CE04" w14:textId="24E58C9F" w:rsidR="007A52B4" w:rsidRDefault="007A52B4" w:rsidP="007A52B4">
      <w:r>
        <w:rPr>
          <w:noProof/>
          <w:lang w:val="en-US"/>
        </w:rPr>
        <w:lastRenderedPageBreak/>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7">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017DAF2D" w:rsidR="00845FD4" w:rsidRDefault="00845FD4" w:rsidP="00845FD4"/>
    <w:p w14:paraId="2597C499" w14:textId="77777777" w:rsidR="00845FD4" w:rsidRDefault="00845FD4" w:rsidP="00845FD4"/>
    <w:p w14:paraId="4A5DE983" w14:textId="4376EA21" w:rsidR="00845FD4" w:rsidRPr="00952BE1" w:rsidRDefault="00952BE1" w:rsidP="00952BE1">
      <w:pPr>
        <w:ind w:firstLine="708"/>
        <w:rPr>
          <w:sz w:val="28"/>
        </w:rPr>
      </w:pPr>
      <w:r w:rsidRPr="00952BE1">
        <w:rPr>
          <w:sz w:val="28"/>
        </w:rPr>
        <w:lastRenderedPageBreak/>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1F3749F1" w:rsidR="00845FD4" w:rsidRPr="00A573B4" w:rsidRDefault="00A573B4" w:rsidP="00A573B4">
      <w:pPr>
        <w:ind w:firstLine="708"/>
        <w:rPr>
          <w:sz w:val="28"/>
        </w:rPr>
      </w:pPr>
      <w:r w:rsidRPr="00A573B4">
        <w:rPr>
          <w:sz w:val="28"/>
        </w:rPr>
        <w:t>4. Métriques de performance</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ABD65BB" w14:textId="1EF46B76" w:rsidR="006C25CE" w:rsidRDefault="006C25CE" w:rsidP="00845FD4">
      <w:pPr>
        <w:rPr>
          <w:sz w:val="28"/>
        </w:rPr>
      </w:pPr>
    </w:p>
    <w:p w14:paraId="21CB4E02" w14:textId="0325843C" w:rsidR="006C25CE" w:rsidRPr="00A573B4" w:rsidRDefault="006C25CE" w:rsidP="006C25CE">
      <w:pPr>
        <w:ind w:firstLine="708"/>
        <w:rPr>
          <w:sz w:val="28"/>
        </w:rPr>
      </w:pPr>
      <w:r w:rsidRPr="006C25CE">
        <w:rPr>
          <w:sz w:val="28"/>
        </w:rPr>
        <w:t>5. Résu</w:t>
      </w:r>
      <w:r w:rsidR="00BA3D4C">
        <w:rPr>
          <w:sz w:val="28"/>
        </w:rPr>
        <w:t xml:space="preserve">ltats et analyse </w:t>
      </w:r>
    </w:p>
    <w:p w14:paraId="784D4A4D" w14:textId="77777777"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appropriées dans des délais rapides. </w:t>
      </w:r>
    </w:p>
    <w:p w14:paraId="482856E5" w14:textId="77777777" w:rsidR="006C25CE" w:rsidRPr="006C25CE" w:rsidRDefault="006C25CE" w:rsidP="006C25CE">
      <w:pPr>
        <w:rPr>
          <w:sz w:val="28"/>
        </w:rPr>
      </w:pPr>
    </w:p>
    <w:p w14:paraId="4E9A70D3" w14:textId="08FBD927"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Pr="006C25CE">
        <w:rPr>
          <w:sz w:val="28"/>
        </w:rPr>
        <w:t xml:space="preserve"> pour chacun.</w:t>
      </w:r>
    </w:p>
    <w:p w14:paraId="15E71C22" w14:textId="77777777" w:rsidR="006C25CE" w:rsidRPr="006C25CE" w:rsidRDefault="006C25CE" w:rsidP="006C25CE">
      <w:pPr>
        <w:rPr>
          <w:sz w:val="28"/>
        </w:rPr>
      </w:pPr>
    </w:p>
    <w:p w14:paraId="5E2EF0C8" w14:textId="77777777" w:rsidR="006C25CE" w:rsidRPr="006C25CE" w:rsidRDefault="006C25CE" w:rsidP="006C25CE">
      <w:pPr>
        <w:rPr>
          <w:sz w:val="28"/>
        </w:rPr>
      </w:pPr>
      <w:r w:rsidRPr="006C25CE">
        <w:rPr>
          <w:sz w:val="28"/>
        </w:rPr>
        <w:t>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utilisateur fluide et réactive.</w:t>
      </w:r>
    </w:p>
    <w:p w14:paraId="49D81DD8" w14:textId="77777777" w:rsidR="006C25CE" w:rsidRPr="006C25CE" w:rsidRDefault="006C25CE" w:rsidP="006C25CE">
      <w:pPr>
        <w:rPr>
          <w:sz w:val="28"/>
        </w:rPr>
      </w:pPr>
    </w:p>
    <w:p w14:paraId="02FDC49C" w14:textId="77777777" w:rsidR="006C25CE" w:rsidRPr="006C25CE" w:rsidRDefault="006C25CE" w:rsidP="006C25CE">
      <w:pPr>
        <w:rPr>
          <w:sz w:val="28"/>
        </w:rPr>
      </w:pPr>
      <w:r w:rsidRPr="006C25CE">
        <w:rPr>
          <w:sz w:val="28"/>
        </w:rPr>
        <w:t>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complète.</w:t>
      </w:r>
    </w:p>
    <w:p w14:paraId="5C6C3FAE" w14:textId="77777777" w:rsidR="006C25CE" w:rsidRPr="006C25CE" w:rsidRDefault="006C25CE" w:rsidP="006C25CE">
      <w:pPr>
        <w:rPr>
          <w:sz w:val="28"/>
        </w:rPr>
      </w:pP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2"/>
  </w:compat>
  <w:rsids>
    <w:rsidRoot w:val="00C606EF"/>
    <w:rsid w:val="000D4E8E"/>
    <w:rsid w:val="000F33F1"/>
    <w:rsid w:val="001D5F8E"/>
    <w:rsid w:val="001F7D55"/>
    <w:rsid w:val="003F005A"/>
    <w:rsid w:val="00427BFD"/>
    <w:rsid w:val="004C3785"/>
    <w:rsid w:val="004F43B0"/>
    <w:rsid w:val="00551F8E"/>
    <w:rsid w:val="005A5EFB"/>
    <w:rsid w:val="0065062E"/>
    <w:rsid w:val="006C25CE"/>
    <w:rsid w:val="00705BF4"/>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6171"/>
    <w:rsid w:val="00AB7031"/>
    <w:rsid w:val="00AE1AE3"/>
    <w:rsid w:val="00B109D8"/>
    <w:rsid w:val="00B514D2"/>
    <w:rsid w:val="00B80526"/>
    <w:rsid w:val="00B8392D"/>
    <w:rsid w:val="00B83A48"/>
    <w:rsid w:val="00BA3D4C"/>
    <w:rsid w:val="00BB580B"/>
    <w:rsid w:val="00BE4ACA"/>
    <w:rsid w:val="00BE592B"/>
    <w:rsid w:val="00C32562"/>
    <w:rsid w:val="00C606EF"/>
    <w:rsid w:val="00CB1373"/>
    <w:rsid w:val="00DD5CEB"/>
    <w:rsid w:val="00E7763F"/>
    <w:rsid w:val="00ED23DE"/>
    <w:rsid w:val="00EE53B9"/>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docId w15:val="{2DE90C1D-D265-4DA2-85E3-9665146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570DD-6110-4D4D-913D-540250F50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21</Pages>
  <Words>3423</Words>
  <Characters>19513</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9</cp:revision>
  <dcterms:created xsi:type="dcterms:W3CDTF">2024-04-25T13:46:00Z</dcterms:created>
  <dcterms:modified xsi:type="dcterms:W3CDTF">2024-04-29T00:07:00Z</dcterms:modified>
</cp:coreProperties>
</file>