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05A" w:rsidRPr="0043705A" w:rsidRDefault="0043705A" w:rsidP="0043705A">
      <w:pPr>
        <w:keepNext/>
        <w:keepLines/>
        <w:pageBreakBefore/>
        <w:tabs>
          <w:tab w:val="num" w:pos="851"/>
        </w:tabs>
        <w:suppressAutoHyphens/>
        <w:spacing w:before="360" w:after="120" w:line="240" w:lineRule="auto"/>
        <w:ind w:left="851" w:hanging="851"/>
        <w:outlineLvl w:val="0"/>
        <w:rPr>
          <w:rFonts w:ascii="Arial" w:eastAsia="Times New Roman" w:hAnsi="Arial" w:cs="Times New Roman"/>
          <w:b/>
          <w:bCs/>
          <w:caps/>
          <w:kern w:val="36"/>
          <w:sz w:val="36"/>
          <w:szCs w:val="32"/>
          <w:lang w:val="en-US" w:bidi="en-US"/>
        </w:rPr>
      </w:pPr>
      <w:bookmarkStart w:id="0" w:name="_Toc525148535"/>
      <w:r w:rsidRPr="0043705A">
        <w:rPr>
          <w:rFonts w:ascii="Arial" w:eastAsia="Times New Roman" w:hAnsi="Arial" w:cs="Times New Roman"/>
          <w:b/>
          <w:bCs/>
          <w:caps/>
          <w:kern w:val="36"/>
          <w:sz w:val="36"/>
          <w:szCs w:val="32"/>
          <w:lang w:val="en-US" w:bidi="en-US"/>
        </w:rPr>
        <w:t>Policy Statement</w:t>
      </w:r>
      <w:bookmarkEnd w:id="0"/>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bookmarkStart w:id="1" w:name="_Toc525148536"/>
      <w:r w:rsidRPr="0043705A">
        <w:rPr>
          <w:rFonts w:ascii="Arial" w:eastAsia="Times New Roman" w:hAnsi="Arial" w:cs="Times New Roman"/>
          <w:b/>
          <w:iCs/>
          <w:caps/>
          <w:kern w:val="28"/>
          <w:sz w:val="28"/>
          <w:szCs w:val="28"/>
          <w:lang w:val="en-US" w:bidi="en-US"/>
        </w:rPr>
        <w:t>General Statements</w:t>
      </w:r>
      <w:bookmarkEnd w:id="1"/>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 xml:space="preserve">The Company fully complies with GDPR requirements and is able to demonstrate the proof. </w:t>
      </w:r>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The Company shall take all possible measures to protect personal data belonging to EU data subjects that the Company might process in the course of its activities.</w:t>
      </w:r>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The Company claims that personal data belonging to EU data subjects that the Company might process in the course of its activities:</w:t>
      </w:r>
    </w:p>
    <w:p w:rsidR="0043705A" w:rsidRPr="0043705A" w:rsidRDefault="0043705A" w:rsidP="0043705A">
      <w:pPr>
        <w:numPr>
          <w:ilvl w:val="0"/>
          <w:numId w:val="1"/>
        </w:numPr>
        <w:spacing w:after="120" w:line="276" w:lineRule="atLeast"/>
        <w:ind w:left="1570" w:hanging="357"/>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shall be processed lawfully, and the lawfulness of processing shall be verified;</w:t>
      </w:r>
    </w:p>
    <w:p w:rsidR="0043705A" w:rsidRPr="0043705A" w:rsidRDefault="0043705A" w:rsidP="0043705A">
      <w:pPr>
        <w:numPr>
          <w:ilvl w:val="0"/>
          <w:numId w:val="1"/>
        </w:numPr>
        <w:spacing w:after="120" w:line="276" w:lineRule="atLeast"/>
        <w:ind w:left="1570" w:hanging="357"/>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shall be processed fairly and in a transparent manner in relation to the data subject; </w:t>
      </w:r>
    </w:p>
    <w:p w:rsidR="0043705A" w:rsidRPr="0043705A" w:rsidRDefault="0043705A" w:rsidP="0043705A">
      <w:pPr>
        <w:numPr>
          <w:ilvl w:val="0"/>
          <w:numId w:val="1"/>
        </w:numPr>
        <w:spacing w:after="120" w:line="276" w:lineRule="atLeast"/>
        <w:ind w:left="1570" w:hanging="357"/>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shall be collected for specified, explicit and legitimate purposes and not further processed in a manner that is incompatible with those purposes;</w:t>
      </w:r>
    </w:p>
    <w:p w:rsidR="0043705A" w:rsidRPr="0043705A" w:rsidRDefault="0043705A" w:rsidP="0043705A">
      <w:pPr>
        <w:numPr>
          <w:ilvl w:val="0"/>
          <w:numId w:val="1"/>
        </w:numPr>
        <w:spacing w:after="120" w:line="276" w:lineRule="atLeast"/>
        <w:ind w:left="1570" w:hanging="357"/>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shall be adequate, relevant and limited to what is necessary in relation to the purposes for which they are processed;</w:t>
      </w:r>
    </w:p>
    <w:p w:rsidR="0043705A" w:rsidRPr="0043705A" w:rsidRDefault="0043705A" w:rsidP="0043705A">
      <w:pPr>
        <w:numPr>
          <w:ilvl w:val="0"/>
          <w:numId w:val="1"/>
        </w:numPr>
        <w:spacing w:after="120" w:line="276" w:lineRule="atLeast"/>
        <w:ind w:left="1570" w:hanging="357"/>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shall be accurate and, where necessary, kept up to date;</w:t>
      </w:r>
    </w:p>
    <w:p w:rsidR="0043705A" w:rsidRPr="0043705A" w:rsidRDefault="0043705A" w:rsidP="0043705A">
      <w:pPr>
        <w:numPr>
          <w:ilvl w:val="0"/>
          <w:numId w:val="1"/>
        </w:numPr>
        <w:spacing w:after="120" w:line="276" w:lineRule="atLeast"/>
        <w:ind w:left="1570" w:hanging="357"/>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shall be kept no longer than is necessary for the purposes for which the personal data are processed or no longer than the applicable legislation requires;</w:t>
      </w:r>
    </w:p>
    <w:p w:rsidR="0043705A" w:rsidRPr="0043705A" w:rsidRDefault="0043705A" w:rsidP="0043705A">
      <w:pPr>
        <w:numPr>
          <w:ilvl w:val="0"/>
          <w:numId w:val="1"/>
        </w:numPr>
        <w:spacing w:after="120" w:line="276" w:lineRule="atLeast"/>
        <w:ind w:left="1570" w:hanging="357"/>
        <w:jc w:val="both"/>
        <w:rPr>
          <w:rFonts w:ascii="Tahoma" w:eastAsia="Times New Roman" w:hAnsi="Tahoma" w:cs="Times New Roman"/>
          <w:kern w:val="20"/>
          <w:sz w:val="20"/>
          <w:szCs w:val="24"/>
          <w:lang w:val="en-US" w:bidi="en-US"/>
        </w:rPr>
      </w:pPr>
      <w:proofErr w:type="gramStart"/>
      <w:r w:rsidRPr="0043705A">
        <w:rPr>
          <w:rFonts w:ascii="Tahoma" w:eastAsia="Times New Roman" w:hAnsi="Tahoma" w:cs="Times New Roman"/>
          <w:kern w:val="20"/>
          <w:sz w:val="20"/>
          <w:szCs w:val="24"/>
          <w:lang w:val="en-US" w:bidi="en-US"/>
        </w:rPr>
        <w:t>shall</w:t>
      </w:r>
      <w:proofErr w:type="gramEnd"/>
      <w:r w:rsidRPr="0043705A">
        <w:rPr>
          <w:rFonts w:ascii="Tahoma" w:eastAsia="Times New Roman" w:hAnsi="Tahoma" w:cs="Times New Roman"/>
          <w:kern w:val="20"/>
          <w:sz w:val="20"/>
          <w:szCs w:val="24"/>
          <w:lang w:val="en-US" w:bidi="en-US"/>
        </w:rPr>
        <w:t xml:space="preserve"> be protected from unauthorized or unlawful use or processing, disclosure, loss, destruction or damage by means of technical and organizational measures selected in accordance with the risk-based approach.</w:t>
      </w:r>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The Company claims to ensure that the basic rights of a data subject shall be preserved: right of access, right to r</w:t>
      </w:r>
      <w:r w:rsidRPr="0043705A">
        <w:rPr>
          <w:rFonts w:ascii="Tahoma" w:eastAsia="Times New Roman" w:hAnsi="Tahoma" w:cs="Times New Roman"/>
          <w:bCs/>
          <w:color w:val="000000"/>
          <w:kern w:val="20"/>
          <w:sz w:val="20"/>
          <w:szCs w:val="24"/>
          <w:shd w:val="clear" w:color="auto" w:fill="FFFFFF"/>
          <w:lang w:val="en-US" w:bidi="en-US"/>
        </w:rPr>
        <w:t xml:space="preserve">ectification and erasure, right of restriction of processing, right to data portability, right to object, </w:t>
      </w:r>
      <w:r w:rsidRPr="0043705A">
        <w:rPr>
          <w:rFonts w:ascii="Tahoma" w:eastAsia="Times New Roman" w:hAnsi="Tahoma" w:cs="Times New Roman"/>
          <w:color w:val="000000"/>
          <w:kern w:val="20"/>
          <w:sz w:val="20"/>
          <w:szCs w:val="24"/>
          <w:shd w:val="clear" w:color="auto" w:fill="FFFFFF"/>
          <w:lang w:val="en-US" w:bidi="en-US"/>
        </w:rPr>
        <w:t>right not to be subject to a decision based solely on automated processing.</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bookmarkStart w:id="2" w:name="_Toc525148538"/>
      <w:r w:rsidRPr="0043705A">
        <w:rPr>
          <w:rFonts w:ascii="Arial" w:eastAsia="Times New Roman" w:hAnsi="Arial" w:cs="Times New Roman"/>
          <w:b/>
          <w:iCs/>
          <w:caps/>
          <w:kern w:val="28"/>
          <w:sz w:val="28"/>
          <w:szCs w:val="28"/>
          <w:lang w:val="en-US" w:bidi="en-US"/>
        </w:rPr>
        <w:t>Confidentiality</w:t>
      </w:r>
      <w:bookmarkEnd w:id="2"/>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The Company ensures that its employees and any persons under its authority who access the personal data have committed themselves to confidentiality or are under an appropriate statutory obligation of confidentiality.</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ru-RU" w:bidi="en-US"/>
        </w:rPr>
      </w:pPr>
      <w:bookmarkStart w:id="3" w:name="_Toc525148537"/>
      <w:r w:rsidRPr="0043705A">
        <w:rPr>
          <w:rFonts w:ascii="Arial" w:eastAsia="Times New Roman" w:hAnsi="Arial" w:cs="Times New Roman"/>
          <w:b/>
          <w:iCs/>
          <w:caps/>
          <w:kern w:val="28"/>
          <w:sz w:val="28"/>
          <w:szCs w:val="28"/>
          <w:lang w:val="en-US" w:bidi="en-US"/>
        </w:rPr>
        <w:t>Data Processing Agreement</w:t>
      </w:r>
      <w:r w:rsidRPr="0043705A">
        <w:rPr>
          <w:rFonts w:ascii="Arial" w:eastAsia="Times New Roman" w:hAnsi="Arial" w:cs="Times New Roman"/>
          <w:b/>
          <w:iCs/>
          <w:caps/>
          <w:kern w:val="28"/>
          <w:sz w:val="28"/>
          <w:szCs w:val="28"/>
          <w:lang w:val="ru-RU" w:bidi="en-US"/>
        </w:rPr>
        <w:t>s</w:t>
      </w:r>
      <w:bookmarkEnd w:id="3"/>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Where it is required to transfer personal data belonging to EU data subjects to a third country, Data Processing Agreement (hereinafter referred to as DPA) shall be signed between the parties involved.</w:t>
      </w:r>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The Company shall process the personal data following the requirements stipulated in DPA signed.</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bookmarkStart w:id="4" w:name="_Toc525148539"/>
      <w:r w:rsidRPr="0043705A">
        <w:rPr>
          <w:rFonts w:ascii="Arial" w:eastAsia="Times New Roman" w:hAnsi="Arial" w:cs="Times New Roman"/>
          <w:b/>
          <w:iCs/>
          <w:caps/>
          <w:kern w:val="28"/>
          <w:sz w:val="28"/>
          <w:szCs w:val="28"/>
          <w:lang w:val="en-US" w:bidi="en-US"/>
        </w:rPr>
        <w:t>Technical and Organizational Measures</w:t>
      </w:r>
      <w:bookmarkEnd w:id="4"/>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 xml:space="preserve">The Company claims to ensure the ongoing confidentiality, integrity, availability and resilience of processing systems and services. </w:t>
      </w:r>
    </w:p>
    <w:p w:rsidR="0043705A" w:rsidRPr="0043705A" w:rsidRDefault="0043705A" w:rsidP="0043705A">
      <w:pPr>
        <w:spacing w:after="120" w:line="276" w:lineRule="atLeast"/>
        <w:ind w:left="851"/>
        <w:jc w:val="both"/>
        <w:rPr>
          <w:rFonts w:ascii="Tahoma" w:eastAsia="Times New Roman" w:hAnsi="Tahoma" w:cs="Times New Roman"/>
          <w:color w:val="000000"/>
          <w:kern w:val="20"/>
          <w:sz w:val="20"/>
          <w:szCs w:val="24"/>
          <w:shd w:val="clear" w:color="auto" w:fill="FFFFFF"/>
          <w:lang w:val="en-US" w:bidi="en-US"/>
        </w:rPr>
      </w:pPr>
      <w:r w:rsidRPr="0043705A">
        <w:rPr>
          <w:rFonts w:ascii="Tahoma" w:eastAsia="Times New Roman" w:hAnsi="Tahoma" w:cs="Times New Roman"/>
          <w:kern w:val="20"/>
          <w:sz w:val="20"/>
          <w:szCs w:val="24"/>
          <w:lang w:val="en-US" w:bidi="en-US"/>
        </w:rPr>
        <w:t>The Company claims to ensure the ability to restore the availability and access to personal data in a timely manner in the event of a physical or technical incident.</w:t>
      </w:r>
    </w:p>
    <w:p w:rsidR="0043705A" w:rsidRPr="0043705A" w:rsidRDefault="0043705A" w:rsidP="0043705A">
      <w:pPr>
        <w:spacing w:after="120" w:line="276" w:lineRule="atLeast"/>
        <w:ind w:left="851"/>
        <w:jc w:val="both"/>
        <w:rPr>
          <w:rFonts w:ascii="Tahoma" w:eastAsia="Times New Roman" w:hAnsi="Tahoma" w:cs="Times New Roman"/>
          <w:color w:val="000000"/>
          <w:kern w:val="20"/>
          <w:sz w:val="20"/>
          <w:szCs w:val="24"/>
          <w:shd w:val="clear" w:color="auto" w:fill="FFFFFF"/>
          <w:lang w:val="en-US" w:bidi="en-US"/>
        </w:rPr>
      </w:pPr>
      <w:r w:rsidRPr="0043705A">
        <w:rPr>
          <w:rFonts w:ascii="Tahoma" w:eastAsia="Times New Roman" w:hAnsi="Tahoma" w:cs="Times New Roman"/>
          <w:kern w:val="20"/>
          <w:sz w:val="20"/>
          <w:szCs w:val="24"/>
          <w:lang w:val="en-US" w:bidi="en-US"/>
        </w:rPr>
        <w:lastRenderedPageBreak/>
        <w:t xml:space="preserve">The Company claims to ensure </w:t>
      </w:r>
      <w:r w:rsidRPr="0043705A">
        <w:rPr>
          <w:rFonts w:ascii="Tahoma" w:eastAsia="Times New Roman" w:hAnsi="Tahoma" w:cs="Times New Roman"/>
          <w:color w:val="000000"/>
          <w:kern w:val="20"/>
          <w:sz w:val="20"/>
          <w:szCs w:val="24"/>
          <w:shd w:val="clear" w:color="auto" w:fill="FFFFFF"/>
          <w:lang w:val="en-US" w:bidi="en-US"/>
        </w:rPr>
        <w:t xml:space="preserve">that personal data is protected from </w:t>
      </w:r>
      <w:r w:rsidRPr="0043705A">
        <w:rPr>
          <w:rFonts w:ascii="Tahoma" w:eastAsia="Times New Roman" w:hAnsi="Tahoma" w:cs="Times New Roman"/>
          <w:kern w:val="20"/>
          <w:sz w:val="20"/>
          <w:szCs w:val="24"/>
          <w:lang w:val="en-US" w:bidi="en-US"/>
        </w:rPr>
        <w:t>unauthorized or unlawful use or processing, disclosure, loss, destruction or damage and</w:t>
      </w:r>
      <w:r w:rsidRPr="0043705A">
        <w:rPr>
          <w:rFonts w:ascii="Tahoma" w:eastAsia="Times New Roman" w:hAnsi="Tahoma" w:cs="Times New Roman"/>
          <w:color w:val="000000"/>
          <w:kern w:val="20"/>
          <w:sz w:val="20"/>
          <w:szCs w:val="24"/>
          <w:shd w:val="clear" w:color="auto" w:fill="FFFFFF"/>
          <w:lang w:val="en-US" w:bidi="en-US"/>
        </w:rPr>
        <w:t xml:space="preserve"> processing is performed in accordance with this Regulation. </w:t>
      </w:r>
    </w:p>
    <w:p w:rsidR="0043705A" w:rsidRPr="0043705A" w:rsidRDefault="0043705A" w:rsidP="0043705A">
      <w:pPr>
        <w:spacing w:after="120" w:line="276" w:lineRule="atLeast"/>
        <w:ind w:left="851"/>
        <w:jc w:val="both"/>
        <w:rPr>
          <w:rFonts w:ascii="Tahoma" w:eastAsia="Times New Roman" w:hAnsi="Tahoma" w:cs="Times New Roman"/>
          <w:color w:val="000000"/>
          <w:kern w:val="20"/>
          <w:sz w:val="20"/>
          <w:szCs w:val="24"/>
          <w:shd w:val="clear" w:color="auto" w:fill="FFFFFF"/>
          <w:lang w:val="en-US" w:bidi="en-US"/>
        </w:rPr>
      </w:pPr>
      <w:r w:rsidRPr="0043705A">
        <w:rPr>
          <w:rFonts w:ascii="Tahoma" w:eastAsia="Times New Roman" w:hAnsi="Tahoma" w:cs="Times New Roman"/>
          <w:color w:val="000000"/>
          <w:kern w:val="20"/>
          <w:sz w:val="20"/>
          <w:szCs w:val="24"/>
          <w:shd w:val="clear" w:color="auto" w:fill="FFFFFF"/>
          <w:lang w:val="en-US" w:bidi="en-US"/>
        </w:rPr>
        <w:t xml:space="preserve">For the following purposes, the Company has implemented appropriate technical and organizational measures (hereinafter referred to as TOMs) </w:t>
      </w:r>
      <w:r w:rsidRPr="0043705A">
        <w:rPr>
          <w:rFonts w:ascii="Tahoma" w:eastAsia="Times New Roman" w:hAnsi="Tahoma" w:cs="Times New Roman"/>
          <w:color w:val="000000"/>
          <w:kern w:val="20"/>
          <w:sz w:val="20"/>
          <w:szCs w:val="24"/>
          <w:highlight w:val="yellow"/>
          <w:shd w:val="clear" w:color="auto" w:fill="FFFFFF"/>
          <w:lang w:val="en-US" w:bidi="en-US"/>
        </w:rPr>
        <w:t>[link]</w:t>
      </w:r>
    </w:p>
    <w:p w:rsidR="0043705A" w:rsidRPr="0043705A" w:rsidRDefault="0043705A" w:rsidP="0043705A">
      <w:pPr>
        <w:numPr>
          <w:ilvl w:val="0"/>
          <w:numId w:val="2"/>
        </w:numPr>
        <w:spacing w:after="120" w:line="276" w:lineRule="atLeast"/>
        <w:jc w:val="both"/>
        <w:rPr>
          <w:rFonts w:ascii="Tahoma" w:eastAsia="Times New Roman" w:hAnsi="Tahoma" w:cs="Times New Roman"/>
          <w:color w:val="000000"/>
          <w:kern w:val="20"/>
          <w:sz w:val="20"/>
          <w:szCs w:val="24"/>
          <w:shd w:val="clear" w:color="auto" w:fill="FFFFFF"/>
          <w:lang w:val="en-US" w:bidi="en-US"/>
        </w:rPr>
      </w:pPr>
      <w:r w:rsidRPr="0043705A">
        <w:rPr>
          <w:rFonts w:ascii="Tahoma" w:eastAsia="Times New Roman" w:hAnsi="Tahoma" w:cs="Times New Roman"/>
          <w:color w:val="000000"/>
          <w:kern w:val="20"/>
          <w:sz w:val="20"/>
          <w:szCs w:val="24"/>
          <w:shd w:val="clear" w:color="auto" w:fill="FFFFFF"/>
          <w:lang w:val="en-US" w:bidi="en-US"/>
        </w:rPr>
        <w:t>TOMs have been selected and implemented based on the risks defined in the course of the personal data processing risk analysis.</w:t>
      </w:r>
    </w:p>
    <w:p w:rsidR="0043705A" w:rsidRPr="0043705A" w:rsidRDefault="0043705A" w:rsidP="0043705A">
      <w:pPr>
        <w:numPr>
          <w:ilvl w:val="0"/>
          <w:numId w:val="2"/>
        </w:numPr>
        <w:spacing w:after="120" w:line="276" w:lineRule="atLeast"/>
        <w:jc w:val="both"/>
        <w:rPr>
          <w:rFonts w:ascii="Tahoma" w:eastAsia="Times New Roman" w:hAnsi="Tahoma" w:cs="Times New Roman"/>
          <w:kern w:val="20"/>
          <w:sz w:val="20"/>
          <w:szCs w:val="24"/>
          <w:lang w:val="en-US" w:bidi="en-US"/>
        </w:rPr>
      </w:pPr>
      <w:r w:rsidRPr="0043705A">
        <w:rPr>
          <w:rFonts w:ascii="Tahoma" w:eastAsia="Times New Roman" w:hAnsi="Tahoma" w:cs="Times New Roman"/>
          <w:color w:val="000000"/>
          <w:kern w:val="20"/>
          <w:sz w:val="20"/>
          <w:szCs w:val="24"/>
          <w:shd w:val="clear" w:color="auto" w:fill="FFFFFF"/>
          <w:lang w:val="en-US" w:bidi="en-US"/>
        </w:rPr>
        <w:t>TOMs might be implemented following customers’ requirements.</w:t>
      </w:r>
    </w:p>
    <w:p w:rsidR="0043705A" w:rsidRPr="0043705A" w:rsidRDefault="0043705A" w:rsidP="0043705A">
      <w:pPr>
        <w:numPr>
          <w:ilvl w:val="0"/>
          <w:numId w:val="2"/>
        </w:numPr>
        <w:spacing w:after="120" w:line="276" w:lineRule="atLeast"/>
        <w:jc w:val="both"/>
        <w:rPr>
          <w:rFonts w:ascii="Tahoma" w:eastAsia="Times New Roman" w:hAnsi="Tahoma" w:cs="Times New Roman"/>
          <w:kern w:val="20"/>
          <w:sz w:val="20"/>
          <w:szCs w:val="24"/>
          <w:lang w:val="en-US" w:bidi="en-US"/>
        </w:rPr>
      </w:pPr>
      <w:r w:rsidRPr="0043705A">
        <w:rPr>
          <w:rFonts w:ascii="Tahoma" w:eastAsia="Times New Roman" w:hAnsi="Tahoma" w:cs="Times New Roman"/>
          <w:color w:val="000000"/>
          <w:kern w:val="20"/>
          <w:sz w:val="20"/>
          <w:szCs w:val="24"/>
          <w:shd w:val="clear" w:color="auto" w:fill="FFFFFF"/>
          <w:lang w:val="en-US" w:bidi="en-US"/>
        </w:rPr>
        <w:t xml:space="preserve">TOMs shall be reviewed and updated on a regular basis in accordance with </w:t>
      </w:r>
      <w:r w:rsidRPr="0043705A">
        <w:rPr>
          <w:rFonts w:ascii="Tahoma" w:eastAsia="Times New Roman" w:hAnsi="Tahoma" w:cs="Times New Roman"/>
          <w:color w:val="000000"/>
          <w:kern w:val="20"/>
          <w:sz w:val="20"/>
          <w:szCs w:val="24"/>
          <w:highlight w:val="yellow"/>
          <w:shd w:val="clear" w:color="auto" w:fill="FFFFFF"/>
          <w:lang w:val="en-US" w:bidi="en-US"/>
        </w:rPr>
        <w:t>[link]</w:t>
      </w:r>
      <w:r w:rsidRPr="0043705A">
        <w:rPr>
          <w:rFonts w:ascii="Tahoma" w:eastAsia="Times New Roman" w:hAnsi="Tahoma" w:cs="Times New Roman"/>
          <w:color w:val="000000"/>
          <w:kern w:val="20"/>
          <w:sz w:val="20"/>
          <w:szCs w:val="24"/>
          <w:shd w:val="clear" w:color="auto" w:fill="FFFFFF"/>
          <w:lang w:val="en-US" w:bidi="en-US"/>
        </w:rPr>
        <w:t>.</w:t>
      </w:r>
      <w:r w:rsidRPr="0043705A">
        <w:rPr>
          <w:rFonts w:ascii="Tahoma" w:eastAsia="Times New Roman" w:hAnsi="Tahoma" w:cs="Times New Roman"/>
          <w:kern w:val="20"/>
          <w:sz w:val="20"/>
          <w:szCs w:val="24"/>
          <w:lang w:val="en-US" w:bidi="en-US"/>
        </w:rPr>
        <w:t xml:space="preserve"> </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bookmarkStart w:id="5" w:name="_Toc525148540"/>
      <w:r w:rsidRPr="0043705A">
        <w:rPr>
          <w:rFonts w:ascii="Arial" w:eastAsia="Times New Roman" w:hAnsi="Arial" w:cs="Times New Roman"/>
          <w:b/>
          <w:iCs/>
          <w:caps/>
          <w:kern w:val="28"/>
          <w:sz w:val="28"/>
          <w:szCs w:val="28"/>
          <w:lang w:val="en-US" w:bidi="en-US"/>
        </w:rPr>
        <w:t>Technical and Organizational Measures Effectiveness Review</w:t>
      </w:r>
      <w:bookmarkEnd w:id="5"/>
    </w:p>
    <w:p w:rsidR="0043705A" w:rsidRPr="0043705A" w:rsidRDefault="0043705A" w:rsidP="0043705A">
      <w:pPr>
        <w:spacing w:after="120" w:line="276" w:lineRule="atLeast"/>
        <w:ind w:left="851"/>
        <w:jc w:val="both"/>
        <w:rPr>
          <w:rFonts w:ascii="Tahoma" w:eastAsia="Times New Roman" w:hAnsi="Tahoma" w:cs="Times New Roman"/>
          <w:color w:val="000000"/>
          <w:kern w:val="20"/>
          <w:sz w:val="20"/>
          <w:szCs w:val="24"/>
          <w:shd w:val="clear" w:color="auto" w:fill="FFFFFF"/>
          <w:lang w:val="en-US" w:bidi="en-US"/>
        </w:rPr>
      </w:pPr>
      <w:r w:rsidRPr="0043705A">
        <w:rPr>
          <w:rFonts w:ascii="Tahoma" w:eastAsia="Times New Roman" w:hAnsi="Tahoma" w:cs="Times New Roman"/>
          <w:color w:val="000000"/>
          <w:kern w:val="20"/>
          <w:sz w:val="20"/>
          <w:szCs w:val="24"/>
          <w:shd w:val="clear" w:color="auto" w:fill="FFFFFF"/>
          <w:lang w:val="en-US" w:bidi="en-US"/>
        </w:rPr>
        <w:t xml:space="preserve">TOMs shall be audited and reviewed for effectiveness in the course of internal audits and the results shall be kept </w:t>
      </w:r>
      <w:r w:rsidRPr="0043705A">
        <w:rPr>
          <w:rFonts w:ascii="Tahoma" w:eastAsia="Times New Roman" w:hAnsi="Tahoma" w:cs="Times New Roman"/>
          <w:color w:val="000000"/>
          <w:kern w:val="20"/>
          <w:sz w:val="20"/>
          <w:szCs w:val="24"/>
          <w:highlight w:val="yellow"/>
          <w:shd w:val="clear" w:color="auto" w:fill="FFFFFF"/>
          <w:lang w:val="en-US" w:bidi="en-US"/>
        </w:rPr>
        <w:t>[link]</w:t>
      </w:r>
      <w:r w:rsidRPr="0043705A">
        <w:rPr>
          <w:rFonts w:ascii="Tahoma" w:eastAsia="Times New Roman" w:hAnsi="Tahoma" w:cs="Times New Roman"/>
          <w:color w:val="000000"/>
          <w:kern w:val="20"/>
          <w:sz w:val="20"/>
          <w:szCs w:val="24"/>
          <w:shd w:val="clear" w:color="auto" w:fill="FFFFFF"/>
          <w:lang w:val="en-US" w:bidi="en-US"/>
        </w:rPr>
        <w:t>.</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bookmarkStart w:id="6" w:name="_Toc525148541"/>
      <w:r w:rsidRPr="0043705A">
        <w:rPr>
          <w:rFonts w:ascii="Arial" w:eastAsia="Times New Roman" w:hAnsi="Arial" w:cs="Times New Roman"/>
          <w:b/>
          <w:iCs/>
          <w:caps/>
          <w:kern w:val="28"/>
          <w:sz w:val="28"/>
          <w:szCs w:val="28"/>
          <w:lang w:val="en-US" w:bidi="en-US"/>
        </w:rPr>
        <w:t>Personal data Inventory</w:t>
      </w:r>
      <w:bookmarkEnd w:id="6"/>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 xml:space="preserve">The inventory of personal data processed by the Company shall be kept along with the lawful ground for processing </w:t>
      </w:r>
      <w:r w:rsidRPr="0043705A">
        <w:rPr>
          <w:rFonts w:ascii="Tahoma" w:eastAsia="Times New Roman" w:hAnsi="Tahoma" w:cs="Times New Roman"/>
          <w:color w:val="000000"/>
          <w:kern w:val="20"/>
          <w:sz w:val="20"/>
          <w:szCs w:val="24"/>
          <w:highlight w:val="yellow"/>
          <w:shd w:val="clear" w:color="auto" w:fill="FFFFFF"/>
          <w:lang w:val="en-US" w:bidi="en-US"/>
        </w:rPr>
        <w:t>[link]</w:t>
      </w:r>
      <w:r w:rsidRPr="0043705A">
        <w:rPr>
          <w:rFonts w:ascii="Tahoma" w:eastAsia="Times New Roman" w:hAnsi="Tahoma" w:cs="Times New Roman"/>
          <w:color w:val="000000"/>
          <w:kern w:val="20"/>
          <w:sz w:val="20"/>
          <w:szCs w:val="24"/>
          <w:shd w:val="clear" w:color="auto" w:fill="FFFFFF"/>
          <w:lang w:val="en-US" w:bidi="en-US"/>
        </w:rPr>
        <w:t>.</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bookmarkStart w:id="7" w:name="_Toc525148542"/>
      <w:r w:rsidRPr="0043705A">
        <w:rPr>
          <w:rFonts w:ascii="Arial" w:eastAsia="Times New Roman" w:hAnsi="Arial" w:cs="Times New Roman"/>
          <w:b/>
          <w:iCs/>
          <w:caps/>
          <w:kern w:val="28"/>
          <w:sz w:val="28"/>
          <w:szCs w:val="28"/>
          <w:lang w:val="en-US" w:bidi="en-US"/>
        </w:rPr>
        <w:t>Personnel Authorized to Process Personal Data</w:t>
      </w:r>
      <w:bookmarkEnd w:id="7"/>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 xml:space="preserve">The list of the personnel authorized to process personal data shall be kept </w:t>
      </w:r>
      <w:r w:rsidRPr="0043705A">
        <w:rPr>
          <w:rFonts w:ascii="Tahoma" w:eastAsia="Times New Roman" w:hAnsi="Tahoma" w:cs="Times New Roman"/>
          <w:color w:val="000000"/>
          <w:kern w:val="20"/>
          <w:sz w:val="20"/>
          <w:szCs w:val="24"/>
          <w:highlight w:val="yellow"/>
          <w:shd w:val="clear" w:color="auto" w:fill="FFFFFF"/>
          <w:lang w:val="en-US" w:bidi="en-US"/>
        </w:rPr>
        <w:t>[link]</w:t>
      </w:r>
      <w:r w:rsidRPr="0043705A">
        <w:rPr>
          <w:rFonts w:ascii="Tahoma" w:eastAsia="Times New Roman" w:hAnsi="Tahoma" w:cs="Times New Roman"/>
          <w:color w:val="000000"/>
          <w:kern w:val="20"/>
          <w:sz w:val="20"/>
          <w:szCs w:val="24"/>
          <w:shd w:val="clear" w:color="auto" w:fill="FFFFFF"/>
          <w:lang w:val="en-US" w:bidi="en-US"/>
        </w:rPr>
        <w:t>.</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bookmarkStart w:id="8" w:name="_Toc525148543"/>
      <w:r w:rsidRPr="0043705A">
        <w:rPr>
          <w:rFonts w:ascii="Arial" w:eastAsia="Times New Roman" w:hAnsi="Arial" w:cs="Times New Roman"/>
          <w:b/>
          <w:iCs/>
          <w:caps/>
          <w:kern w:val="28"/>
          <w:sz w:val="28"/>
          <w:szCs w:val="28"/>
          <w:lang w:val="en-US" w:bidi="en-US"/>
        </w:rPr>
        <w:t>Personal Data Processing Rules Awareness</w:t>
      </w:r>
      <w:bookmarkEnd w:id="8"/>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 xml:space="preserve">The personnel of the Company is obliged to take appropriate training in regard to personal data processing rules adopted in the Company. The training materials and records shall be kept </w:t>
      </w:r>
      <w:r w:rsidRPr="0043705A">
        <w:rPr>
          <w:rFonts w:ascii="Tahoma" w:eastAsia="Times New Roman" w:hAnsi="Tahoma" w:cs="Times New Roman"/>
          <w:color w:val="000000"/>
          <w:kern w:val="20"/>
          <w:sz w:val="20"/>
          <w:szCs w:val="24"/>
          <w:highlight w:val="yellow"/>
          <w:shd w:val="clear" w:color="auto" w:fill="FFFFFF"/>
          <w:lang w:val="en-US" w:bidi="en-US"/>
        </w:rPr>
        <w:t>[link]</w:t>
      </w:r>
      <w:r w:rsidRPr="0043705A">
        <w:rPr>
          <w:rFonts w:ascii="Tahoma" w:eastAsia="Times New Roman" w:hAnsi="Tahoma" w:cs="Times New Roman"/>
          <w:kern w:val="20"/>
          <w:sz w:val="20"/>
          <w:szCs w:val="24"/>
          <w:lang w:val="en-US" w:bidi="en-US"/>
        </w:rPr>
        <w:t>.</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bookmarkStart w:id="9" w:name="_Toc525148544"/>
      <w:r w:rsidRPr="0043705A">
        <w:rPr>
          <w:rFonts w:ascii="Arial" w:eastAsia="Times New Roman" w:hAnsi="Arial" w:cs="Times New Roman"/>
          <w:b/>
          <w:iCs/>
          <w:caps/>
          <w:kern w:val="28"/>
          <w:sz w:val="28"/>
          <w:szCs w:val="28"/>
          <w:lang w:val="en-US" w:bidi="en-US"/>
        </w:rPr>
        <w:t>personal data breach Notification Procedure</w:t>
      </w:r>
      <w:bookmarkEnd w:id="9"/>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 xml:space="preserve">In the event of a personal data breach, the Company shall follow the data breach notification process: </w:t>
      </w:r>
    </w:p>
    <w:p w:rsidR="0043705A" w:rsidRPr="0043705A" w:rsidRDefault="0043705A" w:rsidP="0043705A">
      <w:pPr>
        <w:numPr>
          <w:ilvl w:val="0"/>
          <w:numId w:val="3"/>
        </w:numPr>
        <w:spacing w:after="120" w:line="276" w:lineRule="atLeast"/>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 xml:space="preserve">Supervisory authority shall be notified: where feasible, not later than 72 hours. </w:t>
      </w:r>
    </w:p>
    <w:p w:rsidR="0043705A" w:rsidRPr="0043705A" w:rsidRDefault="0043705A" w:rsidP="0043705A">
      <w:pPr>
        <w:numPr>
          <w:ilvl w:val="0"/>
          <w:numId w:val="3"/>
        </w:numPr>
        <w:spacing w:after="120" w:line="276" w:lineRule="atLeast"/>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Data subject shall be notified</w:t>
      </w:r>
    </w:p>
    <w:p w:rsidR="0043705A" w:rsidRPr="0043705A" w:rsidRDefault="0043705A" w:rsidP="0043705A">
      <w:pPr>
        <w:numPr>
          <w:ilvl w:val="0"/>
          <w:numId w:val="3"/>
        </w:numPr>
        <w:spacing w:after="120" w:line="276" w:lineRule="atLeast"/>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Personal data breaches shall be documented, comprising the facts relating to the personal data breach, its effects and the remedial action taken.</w:t>
      </w:r>
    </w:p>
    <w:p w:rsidR="0043705A" w:rsidRPr="0043705A" w:rsidRDefault="0043705A" w:rsidP="0043705A">
      <w:pPr>
        <w:keepNext/>
        <w:keepLines/>
        <w:numPr>
          <w:ilvl w:val="1"/>
          <w:numId w:val="0"/>
        </w:numPr>
        <w:tabs>
          <w:tab w:val="num" w:pos="851"/>
        </w:tabs>
        <w:suppressAutoHyphens/>
        <w:spacing w:before="240" w:after="60" w:line="240" w:lineRule="auto"/>
        <w:ind w:left="851" w:hanging="851"/>
        <w:outlineLvl w:val="1"/>
        <w:rPr>
          <w:rFonts w:ascii="Arial" w:eastAsia="Times New Roman" w:hAnsi="Arial" w:cs="Times New Roman"/>
          <w:b/>
          <w:iCs/>
          <w:caps/>
          <w:kern w:val="28"/>
          <w:sz w:val="28"/>
          <w:szCs w:val="28"/>
          <w:lang w:val="en-US" w:bidi="en-US"/>
        </w:rPr>
      </w:pPr>
      <w:r w:rsidRPr="0043705A">
        <w:rPr>
          <w:rFonts w:ascii="Arial" w:eastAsia="Times New Roman" w:hAnsi="Arial" w:cs="Times New Roman"/>
          <w:b/>
          <w:iCs/>
          <w:caps/>
          <w:kern w:val="28"/>
          <w:sz w:val="28"/>
          <w:szCs w:val="28"/>
          <w:lang w:val="en-US" w:bidi="en-US"/>
        </w:rPr>
        <w:t>Code of Conduct</w:t>
      </w:r>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r w:rsidRPr="0043705A">
        <w:rPr>
          <w:rFonts w:ascii="Tahoma" w:eastAsia="Times New Roman" w:hAnsi="Tahoma" w:cs="Times New Roman"/>
          <w:kern w:val="20"/>
          <w:sz w:val="20"/>
          <w:szCs w:val="24"/>
          <w:lang w:val="en-US" w:bidi="en-US"/>
        </w:rPr>
        <w:t xml:space="preserve">Code of conduct has been adopted in the Company for the purpose of specifying the application of GDPR in the Company </w:t>
      </w:r>
      <w:r w:rsidRPr="0043705A">
        <w:rPr>
          <w:rFonts w:ascii="Tahoma" w:eastAsia="Times New Roman" w:hAnsi="Tahoma" w:cs="Times New Roman"/>
          <w:kern w:val="20"/>
          <w:sz w:val="20"/>
          <w:szCs w:val="24"/>
          <w:highlight w:val="yellow"/>
          <w:lang w:val="en-US" w:bidi="en-US"/>
        </w:rPr>
        <w:t>[link].</w:t>
      </w:r>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p>
    <w:p w:rsidR="0043705A" w:rsidRPr="0043705A" w:rsidRDefault="0043705A" w:rsidP="0043705A">
      <w:pPr>
        <w:spacing w:after="120" w:line="276" w:lineRule="atLeast"/>
        <w:ind w:left="851"/>
        <w:jc w:val="both"/>
        <w:rPr>
          <w:rFonts w:ascii="Tahoma" w:eastAsia="Times New Roman" w:hAnsi="Tahoma" w:cs="Times New Roman"/>
          <w:kern w:val="20"/>
          <w:sz w:val="20"/>
          <w:szCs w:val="24"/>
          <w:lang w:val="en-US" w:bidi="en-US"/>
        </w:rPr>
      </w:pPr>
      <w:bookmarkStart w:id="10" w:name="_GoBack"/>
      <w:bookmarkEnd w:id="10"/>
    </w:p>
    <w:sectPr w:rsidR="0043705A" w:rsidRPr="00437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068AE"/>
    <w:multiLevelType w:val="hybridMultilevel"/>
    <w:tmpl w:val="31ECA3C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57551F25"/>
    <w:multiLevelType w:val="hybridMultilevel"/>
    <w:tmpl w:val="19145D2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591C55FC"/>
    <w:multiLevelType w:val="hybridMultilevel"/>
    <w:tmpl w:val="FA4E1C82"/>
    <w:lvl w:ilvl="0" w:tplc="0409000F">
      <w:start w:val="1"/>
      <w:numFmt w:val="decimal"/>
      <w:lvlText w:val="%1."/>
      <w:lvlJc w:val="left"/>
      <w:pPr>
        <w:ind w:left="2285" w:hanging="360"/>
      </w:pPr>
    </w:lvl>
    <w:lvl w:ilvl="1" w:tplc="04090019" w:tentative="1">
      <w:start w:val="1"/>
      <w:numFmt w:val="lowerLetter"/>
      <w:lvlText w:val="%2."/>
      <w:lvlJc w:val="left"/>
      <w:pPr>
        <w:ind w:left="3005" w:hanging="360"/>
      </w:pPr>
    </w:lvl>
    <w:lvl w:ilvl="2" w:tplc="0409001B" w:tentative="1">
      <w:start w:val="1"/>
      <w:numFmt w:val="lowerRoman"/>
      <w:lvlText w:val="%3."/>
      <w:lvlJc w:val="right"/>
      <w:pPr>
        <w:ind w:left="3725" w:hanging="180"/>
      </w:pPr>
    </w:lvl>
    <w:lvl w:ilvl="3" w:tplc="0409000F" w:tentative="1">
      <w:start w:val="1"/>
      <w:numFmt w:val="decimal"/>
      <w:lvlText w:val="%4."/>
      <w:lvlJc w:val="left"/>
      <w:pPr>
        <w:ind w:left="4445" w:hanging="360"/>
      </w:pPr>
    </w:lvl>
    <w:lvl w:ilvl="4" w:tplc="04090019" w:tentative="1">
      <w:start w:val="1"/>
      <w:numFmt w:val="lowerLetter"/>
      <w:lvlText w:val="%5."/>
      <w:lvlJc w:val="left"/>
      <w:pPr>
        <w:ind w:left="5165" w:hanging="360"/>
      </w:pPr>
    </w:lvl>
    <w:lvl w:ilvl="5" w:tplc="0409001B" w:tentative="1">
      <w:start w:val="1"/>
      <w:numFmt w:val="lowerRoman"/>
      <w:lvlText w:val="%6."/>
      <w:lvlJc w:val="right"/>
      <w:pPr>
        <w:ind w:left="5885" w:hanging="180"/>
      </w:pPr>
    </w:lvl>
    <w:lvl w:ilvl="6" w:tplc="0409000F" w:tentative="1">
      <w:start w:val="1"/>
      <w:numFmt w:val="decimal"/>
      <w:lvlText w:val="%7."/>
      <w:lvlJc w:val="left"/>
      <w:pPr>
        <w:ind w:left="6605" w:hanging="360"/>
      </w:pPr>
    </w:lvl>
    <w:lvl w:ilvl="7" w:tplc="04090019" w:tentative="1">
      <w:start w:val="1"/>
      <w:numFmt w:val="lowerLetter"/>
      <w:lvlText w:val="%8."/>
      <w:lvlJc w:val="left"/>
      <w:pPr>
        <w:ind w:left="7325" w:hanging="360"/>
      </w:pPr>
    </w:lvl>
    <w:lvl w:ilvl="8" w:tplc="0409001B" w:tentative="1">
      <w:start w:val="1"/>
      <w:numFmt w:val="lowerRoman"/>
      <w:lvlText w:val="%9."/>
      <w:lvlJc w:val="right"/>
      <w:pPr>
        <w:ind w:left="804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5A"/>
    <w:rsid w:val="001C013B"/>
    <w:rsid w:val="0043705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A9F6B-C4B9-41ED-8D9D-3952BA0C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Tatarevic, Jelena</dc:creator>
  <cp:keywords/>
  <dc:description/>
  <cp:lastModifiedBy>Tatarevic, Jelena</cp:lastModifiedBy>
  <cp:revision>1</cp:revision>
  <dcterms:created xsi:type="dcterms:W3CDTF">2018-12-13T11:59:00Z</dcterms:created>
  <dcterms:modified xsi:type="dcterms:W3CDTF">2018-12-13T11:59:00Z</dcterms:modified>
</cp:coreProperties>
</file>