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微软雅黑" w:hAnsi="微软雅黑"/>
          <w:b/>
          <w:color w:val="1B2A4A"/>
          <w:sz w:val="56"/>
        </w:rPr>
        <w:t>MSGNav 科研汇报讲稿</w:t>
      </w:r>
    </w:p>
    <w:p>
      <w:pPr>
        <w:spacing w:after="80"/>
        <w:jc w:val="center"/>
      </w:pPr>
      <w:r>
        <w:rPr>
          <w:rFonts w:ascii="微软雅黑" w:hAnsi="微软雅黑"/>
          <w:color w:val="6B7280"/>
          <w:sz w:val="30"/>
        </w:rPr>
        <w:t>基于多模态 3D 场景图的零样本具身导航</w:t>
      </w:r>
    </w:p>
    <w:p>
      <w:pPr>
        <w:spacing w:after="600"/>
        <w:jc w:val="center"/>
      </w:pPr>
      <w:r>
        <w:rPr>
          <w:rFonts w:ascii="Times New Roman" w:hAnsi="Times New Roman"/>
          <w:i/>
          <w:color w:val="6B7280"/>
          <w:sz w:val="22"/>
        </w:rPr>
        <w:t>Unleashing the Power of Multi-modal 3D Scene Graph</w:t>
        <w:br/>
        <w:t>for Zero-Shot Embodied Navigation (CVPR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4535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微软雅黑" w:hAnsi="微软雅黑"/>
                <w:color w:val="6B7280"/>
                <w:sz w:val="20"/>
              </w:rPr>
              <w:t>复现基准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b/>
                <w:color w:val="1B2A4A"/>
                <w:sz w:val="20"/>
              </w:rPr>
              <w:t>GOAT-Bench (Go to Any Thing)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微软雅黑" w:hAnsi="微软雅黑"/>
                <w:color w:val="6B7280"/>
                <w:sz w:val="20"/>
              </w:rPr>
              <w:t>复现模型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b/>
                <w:color w:val="1B2A4A"/>
                <w:sz w:val="20"/>
              </w:rPr>
              <w:t>Qwen-VL-Max + YOLO-World + SAM + CLIP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微软雅黑" w:hAnsi="微软雅黑"/>
                <w:color w:val="6B7280"/>
                <w:sz w:val="20"/>
              </w:rPr>
              <w:t>汇报团队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b/>
                <w:color w:val="1B2A4A"/>
                <w:sz w:val="20"/>
              </w:rPr>
              <w:t>MSGNav 复现小组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微软雅黑" w:hAnsi="微软雅黑"/>
                <w:color w:val="6B7280"/>
                <w:sz w:val="20"/>
              </w:rPr>
              <w:t>汇报日期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b/>
                <w:color w:val="1B2A4A"/>
                <w:sz w:val="20"/>
              </w:rPr>
              <w:t>2026 年 6 月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微软雅黑" w:hAnsi="微软雅黑"/>
          <w:b/>
          <w:color w:val="C0392B"/>
          <w:sz w:val="28"/>
        </w:rPr>
        <w:t>使用说明</w:t>
      </w:r>
    </w:p>
    <w:p>
      <w:pPr>
        <w:spacing w:before="40" w:after="120" w:line="360" w:lineRule="auto"/>
      </w:pPr>
      <w:r>
        <w:rPr>
          <w:rFonts w:ascii="微软雅黑" w:hAnsi="微软雅黑"/>
          <w:b w:val="0"/>
          <w:i w:val="0"/>
          <w:color w:val="6B7280"/>
          <w:sz w:val="20"/>
        </w:rPr>
        <w:t>本讲稿与 MSGNav_科研汇报.pptx 的 15 张幻灯片一一对应。每页包含「页面要点」与「汇报词」两部分，汇报词为建议讲述内容，可根据现场节奏灵活调整。</w:t>
      </w:r>
    </w:p>
    <w:p>
      <w:pPr>
        <w:spacing w:before="40" w:after="120" w:line="360" w:lineRule="auto"/>
      </w:pPr>
      <w:r>
        <w:rPr>
          <w:rFonts w:ascii="微软雅黑" w:hAnsi="微软雅黑"/>
          <w:b w:val="0"/>
          <w:i w:val="0"/>
          <w:color w:val="6B7280"/>
          <w:sz w:val="20"/>
        </w:rPr>
        <w:t>建议总时长：15-20 分钟（每页约 1-1.5 分钟）。</w:t>
      </w:r>
    </w:p>
    <w:p>
      <w:r>
        <w:br w:type="page"/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01  </w:t>
      </w:r>
      <w:r>
        <w:rPr>
          <w:rFonts w:ascii="微软雅黑" w:hAnsi="微软雅黑"/>
          <w:b/>
          <w:color w:val="1B2A4A"/>
          <w:sz w:val="30"/>
        </w:rPr>
        <w:t>封面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Title Slide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论文标题：MSGNav — 基于多模态 3D 场景图的零样本具身导航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会议：CVPR 2026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复现基准：GOAT-Bench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各位老师、同学大家好。我们小组今天汇报的论文是发表于 CVPR 2026 的 MSGNav，全称是「基于多模态 3D 场景图的零样本具身导航」。这篇论文提出了一种全新的零样本具身导航框架，核心思想是利用多模态 3D 场景图来释放大视觉语言模型在导航任务中的推理能力。我们团队完整复现了该方法，并在 GOAT-Bench 基准上进行了评估。接下来我将从问题背景、算法原理、实验结果、总结和分工五个部分进行汇报。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进入目录页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02  </w:t>
      </w:r>
      <w:r>
        <w:rPr>
          <w:rFonts w:ascii="微软雅黑" w:hAnsi="微软雅黑"/>
          <w:b/>
          <w:color w:val="1B2A4A"/>
          <w:sz w:val="30"/>
        </w:rPr>
        <w:t>目录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Contents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01 问题背景及问题设定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02 算法流程及原理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03 运行结果及性能分析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04 项目总结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05 小组分工与心得体会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本次汇报分为五个部分。首先介绍零样本具身导航的问题背景和 GOAT-Bench 基准的设定；然后详细讲解 MSGNav 的算法流程，包括多模态场景图构建、关键子图选择和 VLM 决策三个核心模块；接着展示我们在五个场景上的复现结果和性能分析；之后对整个项目进行总结；最后介绍小组分工和我们的学习心得。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进入第一部分：问题背景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03  </w:t>
      </w:r>
      <w:r>
        <w:rPr>
          <w:rFonts w:ascii="微软雅黑" w:hAnsi="微软雅黑"/>
          <w:b/>
          <w:color w:val="1B2A4A"/>
          <w:sz w:val="30"/>
        </w:rPr>
        <w:t>问题背景：零样本具身导航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Background — Zero-Shot Embodied Navigation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核心挑战：不依赖特定物体类别训练数据，找到任意目标物体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传统方法局限：需大量训练、无法泛化、新环境失效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零样本导航三大能力：开放集感知、3D 空间理解、语义对齐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首先看问题背景。具身导航是指让智能体在 3D 环境中自主移动到指定目标位置的任务。传统方法通常需要针对每个目标物体类别进行大量强化学习训练，动辄数百万帧，而且无法泛化到训练集之外的新类别，面对新环境会完全失效。</w:t>
        <w:br/>
        <w:br/>
        <w:t>MSGNav 要解决的是「零样本具身导航」问题，也就是在不依赖任何导航训练数据的前提下，让智能体仅通过自然语言描述或参考图片，就能在未知 3D 环境中找到任意目标物体。这要求系统具备三大能力：第一是开放集视觉感知，能识别任意物体而不限于预定义类别；第二是 3D 空间理解，能构建和维护环境的 3D 表征；第三是语义对齐，能将语言或图像描述与 3D 场景对应起来。这三大能力正是 MSGNav 设计的核心出发点。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介绍评测基准 GOAT-Bench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04  </w:t>
      </w:r>
      <w:r>
        <w:rPr>
          <w:rFonts w:ascii="微软雅黑" w:hAnsi="微软雅黑"/>
          <w:b/>
          <w:color w:val="1B2A4A"/>
          <w:sz w:val="30"/>
        </w:rPr>
        <w:t>GOAT-Bench 基准测试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Benchmark — Go to Any Thing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三种任务类型：description（文本）、image（图片）、object（类别）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两个评估指标：Success Rate（成功率，d&lt;0.25m）、SPL（路径效率）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测试环境：HM3D v0.2 val，5 个场景，38 个子任务，最大 50 步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我们复现所用的评测基准是 GOAT-Bench，它是首个零样本长效导航评测集。GOAT-Bench 定义了三种任务类型：第一种是 description 任务，给智能体一段自然语言描述，比如「白色水槽上方、木柜旁边的圆镜子」；第二种是 image 任务，提供一张目标物体的参考图片；第三种是 object 任务，只给一个物体类别标签，比如「冰箱」「椅子」。</w:t>
        <w:br/>
        <w:br/>
        <w:t>评估指标有两个。Success Rate 即成功率，定义为智能体最终位置与目标物体距离小于 0.25 米的子任务比例。SPL 即路径加权成功率，公式是 SPL 等于成功标志 S 乘以最优路径长度 L_opt，再除以最优路径和实际路径的最大值，它同时衡量了成功性和路径的最短性。</w:t>
        <w:br/>
        <w:br/>
        <w:t>我们的测试环境是 HM3D v0.2 的验证集，选取了 5 个评估场景，覆盖小、中、大型住宅，共 38 个子任务，每个子任务最大步数为 50 步。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介绍 MSGNav 的核心创新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05  </w:t>
      </w:r>
      <w:r>
        <w:rPr>
          <w:rFonts w:ascii="微软雅黑" w:hAnsi="微软雅黑"/>
          <w:b/>
          <w:color w:val="1B2A4A"/>
          <w:sz w:val="30"/>
        </w:rPr>
        <w:t>MSGNav 核心创新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Key Contributions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MSG：多模态场景图，将 2D 感知提升到 3D 有向图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KSS：关键子图选择，Top-K=20 压缩 VLM 输入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AVU：自适应词汇更新，解决检测漏检问题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CLR：闭环推理，避免 VLM 重复犯错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MSGNav 有四个核心创新点。第一个是 MSG，也就是多模态场景图。它把 YOLO、SAM、CLIP 三个模型的 2D 感知结果提升到 3D，构建一个包含物体空间位置、视觉特征和语义标签的有向图，这是整个系统的核心表征。</w:t>
        <w:br/>
        <w:br/>
        <w:t>第二个是 KSS，关键子图选择。一个场景可能有数百个物体，直接喂给 VLM 既慢又容易超 token。KSS 通过两阶段方法智能选择 Top-K 等于 20 个最相关的物体，在压缩输入的同时保留关键空间信息。</w:t>
        <w:br/>
        <w:br/>
        <w:t>第三个是 AVU，自适应词汇更新。有时候 VLM 能「看到」某个物体，但检测模型因为置信度不够而漏检了。AVU 允许 VLM 主动请求对特定图像重新检测指定类别，弥补了这个 gap。</w:t>
        <w:br/>
        <w:br/>
        <w:t>第四个是 CLR，闭环推理。它把历史错误决策注入提示，避免 VLM 反复犯同样的错误陷入死循环。这四个模块共同支撑了系统的零样本特性——整个系统无需任何导航训练，只依赖预训练模型和 VLM API。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进入第二部分：算法流程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06  </w:t>
      </w:r>
      <w:r>
        <w:rPr>
          <w:rFonts w:ascii="微软雅黑" w:hAnsi="微软雅黑"/>
          <w:b/>
          <w:color w:val="1B2A4A"/>
          <w:sz w:val="30"/>
        </w:rPr>
        <w:t>系统整体架构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System Architecture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七层串行流水线：输入 → 感知 → 场景图 → KSS → VLM 决策 → 路径规划 → 执行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核心模块：YOLO v8x + SAM-L + CLIP ViT-H/14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VLM：Qwen-VL-Max（DashScope API）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路径规划：TSDF + NavMesh + 前沿探索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这一页展示系统的整体架构。MSGNav 是一个完全串行的推理流程，共七层。从上到下依次是：输入层接收 RGB-D 传感器数据，分辨率 1280×1280，水平视场角 120 度；感知层用 YOLO v8x 做开放集检测、SAM-L 做分割、CLIP ViT-H/14 提取视觉特征；然后进入核心的多模态 3D 场景图层，进行增量构建；接着 KSS 模块剪枝选择关键子图；VLM 层调用 Qwen-VL-Max 做导航决策；TSDF 路径规划层用 voxel 0.1 米的体素地图加 NavMesh 做路径规划和前沿探索；最后由 Habitat-Sim 执行动作。</w:t>
        <w:br/>
        <w:br/>
        <w:t>需要特别说明的是，由于是完全串行流程，每步平均耗时约 104 秒，GPU 利用率较低，这个性能瓶颈我们后面会详细分析。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深入场景图构建细节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07  </w:t>
      </w:r>
      <w:r>
        <w:rPr>
          <w:rFonts w:ascii="微软雅黑" w:hAnsi="微软雅黑"/>
          <w:b/>
          <w:color w:val="1B2A4A"/>
          <w:sz w:val="30"/>
        </w:rPr>
        <w:t>多模态 3D 场景图构建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Scene Graph Construction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六步增量构建：YOLO 检测 → SAM 分割 → 深度反投影 → DBSCAN 去噪 → CLIP 编码 → 跨帧匹配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节点 V：3D 包围盒 + CLIP 特征 + 类别 + 检测次数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边 E：中心距离 &lt;3.5m 的有向边 + 关系图像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周期性维护：每 20 步合并+去噪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场景图构建是 MSGNav 的核心，分六步完成。第一步 YOLO-World 检测 200 类 HM3D 物体，置信度阈值 0.5；第二步 SAM 分割得到精细掩码并过滤异常面积；第三步利用相机内参和深度图把 2D 掩码反投影到 3D 体素，精度 0.01 米；第四步用 DBSCAN 去噪，eps 设 0.1 米、最小点数 10，过滤掉少于 16 个点的噪声簇；第五步用 CLIP ViT-H/14 提取 1024 维视觉特征；第六步是跨帧匹配，结合空间 IoU 和视觉特征余弦相似度，用匈牙利算法把不同帧检测到的同一物体关联起来。</w:t>
        <w:br/>
        <w:br/>
        <w:t>最终每个节点包含 3D 包围盒、CLIP 特征、类别名和检测次数；当两个物体中心距离小于 3.5 米时建立有向边，边上还保存共现关键帧作为关系图像。系统每 20 步还会做一次维护：合并 IoU 大于 0.7 且特征相似的物体，移除检测次数少于 3 的低质量物体，保证场景图始终精炼。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介绍 KSS 与 VLM 决策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08  </w:t>
      </w:r>
      <w:r>
        <w:rPr>
          <w:rFonts w:ascii="微软雅黑" w:hAnsi="微软雅黑"/>
          <w:b/>
          <w:color w:val="1B2A4A"/>
          <w:sz w:val="30"/>
        </w:rPr>
        <w:t>关键子图选择与 VLM 决策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KSS &amp; VLM Reasoning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KSS 两阶段：语义预过滤（Top-20 类别）+ 空间图剪枝（贪心图像选择）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VLM 三种决策：选目标物体 / 请求重新检测(AVU) / 继续探索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提示工程：任务指令+场景图摘要+当前观测+历史信息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终点确认：1.5m 处环视 Yes/No 验证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这一页讲关键子图选择和 VLM 决策。KSS 分两个阶段：第一阶段是语义预过滤，提取所有物体的类别名、房间标签和邻居关系，让 VLM 仅基于文本选出 Top-20 个相关类别；第二阶段是空间图剪枝，以关键物体为中心保留直接邻居，再用贪心算法选择最少的图像来覆盖所有边，进一步压缩输入。</w:t>
        <w:br/>
        <w:br/>
        <w:t>VLM 拿到剪枝后的子图后，会输出三种决策之一：第一是选择某个物体 i 作为目标，触发 TSDF 路径规划；第二是指定类别重新检测，这就是 AVU 机制，解决检测模型漏检问题；第三是继续探索前沿区域。</w:t>
        <w:br/>
        <w:br/>
        <w:t>提示工程方面，输入包括任务指令、场景图摘要、当前观测、6 个方向共 240 度的环视图像和历史信息。当智能体接近目标 1.5 米时，会进行 Yes/No 验证确认是否到达终点，避免误判。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进入第三部分：实验结果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09  </w:t>
      </w:r>
      <w:r>
        <w:rPr>
          <w:rFonts w:ascii="微软雅黑" w:hAnsi="微软雅黑"/>
          <w:b/>
          <w:color w:val="1B2A4A"/>
          <w:sz w:val="30"/>
        </w:rPr>
        <w:t>整体评估结果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Overall Results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总成功率 68.42%（26/38 子任务）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SPL 36.49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image 任务最优 80%，object 73.33%，description 53.85%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关键发现：描述类任务是瓶颈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现在进入实验结果部分。在 5 个场景、38 个子任务上，我们复现的总成功率是 68.42%，也就是成功完成了 26 个子任务，SPL 为 36.49。</w:t>
        <w:br/>
        <w:br/>
        <w:t>按任务类型分析，image 任务表现最好，成功率 80%，SPL 40.59，因为参考图片提供了最直观的视觉线索，CLIP 图像-图像匹配直接且准确。object 任务次之，成功率 73.33%，SPL 46.30。description 任务表现最差，成功率只有 53.85%，SPL 22.01，因为复杂空间关系的语义理解受限于 VLM 能力，比如「镜子在水槽上方且在柜子旁边」这种关系描述对 VLM 推理要求很高。</w:t>
        <w:br/>
        <w:br/>
        <w:t>这说明当前的瓶颈在于描述类任务，未来需要更强的空间关系推理能力。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展示各场景详细结果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10  </w:t>
      </w:r>
      <w:r>
        <w:rPr>
          <w:rFonts w:ascii="微软雅黑" w:hAnsi="微软雅黑"/>
          <w:b/>
          <w:color w:val="1B2A4A"/>
          <w:sz w:val="30"/>
        </w:rPr>
        <w:t>各场景详细分析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Per-Scene Results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小场景（00820）100% 成功，SPL 60.23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中场景 77.78%-80%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大场景仅 60%，SPL 显著下降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观察：场景规模影响显著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这一页展示五个场景的详细结果。可以看到明显的规模效应：最小的场景 00820，约 80 平方米，9 个子任务全部成功，成功率 100%，SPL 高达 60.23。中等场景 00815 和 00803，成功率分别是 80% 和 77.78%。而两个大场景 00821 和 00800，面积 230 到 300 平方米，成功率都只有 60%，而且 SPL 下降明显，00800 只有 16.71。</w:t>
        <w:br/>
        <w:br/>
        <w:t>右侧展示了两个代表性可视化结果，上面是综合可视化，包含智能体视角、TSDF 俯视图和检测标注；下面是前沿探索的俯视图。</w:t>
        <w:br/>
        <w:br/>
        <w:t>主要观察是：场景规模影响显著，大空间里物体更多，KSS 剪枝时的信息损失增加，导致成功率下降。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展示更多可视化结果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11  </w:t>
      </w:r>
      <w:r>
        <w:rPr>
          <w:rFonts w:ascii="微软雅黑" w:hAnsi="微软雅黑"/>
          <w:b/>
          <w:color w:val="1B2A4A"/>
          <w:sz w:val="30"/>
        </w:rPr>
        <w:t>实验可视化结果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Visualization Results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上排：三个场景的综合可视化（智能体视角+俯视图+检测标注）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下排：三个场景的前沿探索俯视图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图例：紫色=前沿、绿色=目标、红色=位姿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这一页集中展示可视化结果。上排是三个不同规模场景的综合可视化，每张图包含智能体第一视角画面、TSDF 地图俯视图和物体检测标注，可以看到小场景探索充分、目标清晰，而大场景地图较稀疏。</w:t>
        <w:br/>
        <w:br/>
        <w:t>下排是前沿探索的俯视图，紫色区域代表前沿、绿色代表目标、红色代表智能体位姿轨迹。可以直观看到智能体是如何在未知空间中逐步探索、最终定位到目标的。这些可视化结果也佐证了前面关于场景规模影响的分析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分析图像引导任务与性能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12  </w:t>
      </w:r>
      <w:r>
        <w:rPr>
          <w:rFonts w:ascii="微软雅黑" w:hAnsi="微软雅黑"/>
          <w:b/>
          <w:color w:val="1B2A4A"/>
          <w:sz w:val="30"/>
        </w:rPr>
        <w:t>图像引导任务 &amp; 性能分析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Image Goal &amp; Performance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image 任务优势：参考图片直观、CLIP 匹配准确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每步耗时 ~104s：感知层 90.5s (87%) + VLM 10.5s + 规划 2.6s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GPU 利用率低 ~0%，瓶颈在 I/O 和 API 等待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这一页分两部分。左边是图像引导任务的示例，两张参考图分别是「红色扶手椅」和「窗户下的植物」，两个任务都成功完成。image 任务之所以表现最好，是因为参考图片提供最直观的视觉线索，CLIP 图像-图像匹配直接且准确。</w:t>
        <w:br/>
        <w:br/>
        <w:t>右边是性能分析。每步平均耗时约 104 秒，其中感知层占 87%，约 90.5 秒，主要是 YOLO、SAM、CLIP 三个模型推理；VLM API 调用占 10%，约 10.5 秒；TSDF 规划和内存管理占比很小。</w:t>
        <w:br/>
        <w:br/>
        <w:t>值得注意的问题是 GPU 利用率接近 0%，瓶颈不在 GPU 计算，而在 I/O 密集——每步要读写 200 多张 PNG 图片，加上 VLM API 网络等待和 CPU 单线程处理。显存 12.7GB 基本只是模型权重驻留。这说明系统有较大的工程优化空间，比如改用内存缓存、异步并行等。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进入第四部分：项目总结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13  </w:t>
      </w:r>
      <w:r>
        <w:rPr>
          <w:rFonts w:ascii="微软雅黑" w:hAnsi="微软雅黑"/>
          <w:b/>
          <w:color w:val="1B2A4A"/>
          <w:sz w:val="30"/>
        </w:rPr>
        <w:t>项目总结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Project Summary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与论文对比：Overall -11.08%，image -5%，description -16.15%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差异原因：场景样本少、VLM 差异、网格缺失、参数未调优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核心优势：真正零样本、图像引导优异、模块化设计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当前局限：描述任务瓶颈、大场景效率低、实时性不足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项目总结部分。先看与论文结果的对比，我们复现的 Overall Success 是 68.42%，论文报告约 79.5%，差了 11 个百分点。其中 image 任务差距最小，只差 5 个点；description 任务差距最大，差了 16 个点。</w:t>
        <w:br/>
        <w:br/>
        <w:t>差异原因主要有四点：第一是场景样本偏差，我们只测了 5 个场景，其中包含 2 个大型复杂场景；第二是 VLM 差异，论文用的是 GPT-4o，我们用的是 Qwen-VL-Max；第三是部分场景的 navmesh 不可用；第四是参数未做专门调优，用的是默认配置。</w:t>
        <w:br/>
        <w:br/>
        <w:t>核心优势方面，MSGNav 是真正的零样本方法，无需任何导航训练；图像引导表现优异；场景图设计精巧，有效压缩 VLM 输入；模块化设计易于升级。当前局限主要是描述类任务仍是瓶颈、大场景效率低、实时性不足、对 VLM 质量敏感。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进入第五部分：小组分工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14  </w:t>
      </w:r>
      <w:r>
        <w:rPr>
          <w:rFonts w:ascii="微软雅黑" w:hAnsi="微软雅黑"/>
          <w:b/>
          <w:color w:val="1B2A4A"/>
          <w:sz w:val="30"/>
        </w:rPr>
        <w:t>小组分工与心得体会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Teamwork &amp; Reflections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组长：环境搭建、系统调试、算法流程设计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组员B：场景图构建、KSS 实现、VLM 提示工程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组员C：数据准备、结果分析、性能优化</w:t>
      </w:r>
    </w:p>
    <w:p>
      <w:pPr>
        <w:spacing w:before="20" w:after="60" w:line="336" w:lineRule="auto"/>
        <w:ind w:left="567"/>
      </w:pPr>
      <w:r>
        <w:rPr>
          <w:rFonts w:ascii="微软雅黑" w:hAnsi="微软雅黑"/>
          <w:b/>
          <w:color w:val="C0392B"/>
          <w:sz w:val="22"/>
        </w:rPr>
        <w:t xml:space="preserve">• </w:t>
      </w:r>
      <w:r>
        <w:rPr>
          <w:rFonts w:ascii="微软雅黑" w:hAnsi="微软雅黑"/>
          <w:color w:val="6B7280"/>
          <w:sz w:val="20"/>
        </w:rPr>
        <w:t>心得：零样本导航挑战、多模态模型应用、科研复现经验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最后是小组分工与心得。我们小组三人分工如下：组长负责整体项目管理、环境搭建、系统调试和算法流程设计；组员B负责核心算法实现，包括场景图构建、KSS 实现和 VLM 提示工程；组员C负责数据准备、结果分析和性能优化。</w:t>
        <w:br/>
        <w:br/>
        <w:t>通过这次复现，我们有几点深刻体会：第一是零样本导航的挑战，我们切实感受到语言图像理解与 3D 空间推理结合的难度，尤其是描述类任务对空间关系推理的要求很高；第二是多模态模型的应用，我们掌握了 VLM 在具身智能任务中的提示工程技巧，比如如何构造场景图摘要、如何设计历史信息注入；第三是科研复现经验，从零搭建一个复杂的科研环境、调试各种 API、处理数据格式和依赖冲突，是一段非常宝贵的完整流程训练。</w:t>
        <w:br/>
        <w:br/>
        <w:t>这次复现让我们对零样本具身导航这个前沿方向有了深入理解，也为后续研究打下了基础。</w:t>
      </w:r>
    </w:p>
    <w:p>
      <w:pPr>
        <w:spacing w:before="160" w:after="80"/>
        <w:jc w:val="right"/>
      </w:pPr>
      <w:r>
        <w:rPr>
          <w:rFonts w:ascii="微软雅黑" w:hAnsi="微软雅黑"/>
          <w:i/>
          <w:color w:val="6B7280"/>
          <w:sz w:val="18"/>
        </w:rPr>
        <w:t>⟶ 汇报结束，进入问答环节</w:t>
      </w:r>
    </w:p>
    <w:p>
      <w:pPr>
        <w:spacing w:before="400" w:after="40"/>
        <w:pBdr>
          <w:bottom w:val="single" w:sz="12" w:space="1" w:color="C0392B"/>
        </w:pBdr>
      </w:pPr>
    </w:p>
    <w:p>
      <w:pPr>
        <w:spacing w:before="80" w:after="40"/>
      </w:pPr>
      <w:r>
        <w:rPr>
          <w:rFonts w:ascii="Times New Roman" w:hAnsi="Times New Roman"/>
          <w:b/>
          <w:i/>
          <w:color w:val="C0392B"/>
          <w:sz w:val="24"/>
        </w:rPr>
        <w:t xml:space="preserve">Slide 15  </w:t>
      </w:r>
      <w:r>
        <w:rPr>
          <w:rFonts w:ascii="微软雅黑" w:hAnsi="微软雅黑"/>
          <w:b/>
          <w:color w:val="1B2A4A"/>
          <w:sz w:val="30"/>
        </w:rPr>
        <w:t>感谢页</w:t>
      </w:r>
    </w:p>
    <w:p>
      <w:pPr>
        <w:spacing w:before="0" w:after="200"/>
      </w:pPr>
      <w:r>
        <w:rPr>
          <w:rFonts w:ascii="Times New Roman" w:hAnsi="Times New Roman"/>
          <w:i/>
          <w:color w:val="6B7280"/>
          <w:sz w:val="20"/>
        </w:rPr>
        <w:t>Thank You</w:t>
      </w:r>
    </w:p>
    <w:p>
      <w:pPr>
        <w:spacing w:before="80" w:after="160" w:line="384" w:lineRule="auto"/>
        <w:ind w:left="283"/>
      </w:pPr>
      <w:r>
        <w:rPr>
          <w:rFonts w:ascii="微软雅黑" w:hAnsi="微软雅黑"/>
          <w:b/>
          <w:color w:val="C0392B"/>
          <w:sz w:val="20"/>
        </w:rPr>
        <w:t>【汇报】</w:t>
      </w:r>
      <w:r>
        <w:rPr>
          <w:rFonts w:ascii="微软雅黑" w:hAnsi="微软雅黑"/>
          <w:color w:val="212529"/>
          <w:sz w:val="22"/>
        </w:rPr>
        <w:t>以上就是我们的全部汇报内容。感谢各位老师和同学的聆听，欢迎大家提问和交流。我们的复现代码和详细报告已经在 GitHub 上开源，欢迎参考。谢谢大家！</w:t>
      </w:r>
    </w:p>
    <w:p>
      <w:pPr>
        <w:spacing w:before="800"/>
        <w:jc w:val="center"/>
        <w:pBdr>
          <w:top w:val="single" w:sz="6" w:space="1" w:color="C0392B"/>
        </w:pBdr>
      </w:pPr>
      <w:r>
        <w:rPr>
          <w:rFonts w:ascii="微软雅黑" w:hAnsi="微软雅黑"/>
          <w:i/>
          <w:color w:val="6B7280"/>
          <w:sz w:val="22"/>
        </w:rPr>
        <w:t>— 讲稿结束 —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