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Колебания</w:t>
      </w:r>
      <w:r>
        <w:t xml:space="preserve"> </w:t>
      </w:r>
      <w:r>
        <w:t xml:space="preserve">цепочек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НПИ-01-18</w:t>
      </w:r>
    </w:p>
    <w:p>
      <w:pPr>
        <w:pStyle w:val="Author"/>
      </w:pPr>
      <w:r>
        <w:t xml:space="preserve">Каримов</w:t>
      </w:r>
      <w:r>
        <w:t xml:space="preserve"> </w:t>
      </w:r>
      <w:r>
        <w:t xml:space="preserve">Зуфар</w:t>
      </w:r>
      <w:r>
        <w:t xml:space="preserve"> </w:t>
      </w:r>
      <w:r>
        <w:t xml:space="preserve">Исматович</w:t>
      </w:r>
      <w:r>
        <w:t xml:space="preserve"> </w:t>
      </w:r>
      <w:r>
        <w:t xml:space="preserve">НПИ-01-18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НПИ-01-18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Нурсултан</w:t>
      </w:r>
      <w:r>
        <w:t xml:space="preserve"> </w:t>
      </w:r>
      <w:r>
        <w:t xml:space="preserve">Тофик</w:t>
      </w:r>
      <w:r>
        <w:t xml:space="preserve"> </w:t>
      </w:r>
      <w:r>
        <w:t xml:space="preserve">оглы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Рассмотрение алгоритма задачи математического маятника.</w:t>
      </w:r>
    </w:p>
    <w:bookmarkEnd w:id="20"/>
    <w:bookmarkStart w:id="21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Гармонический осциллятор, к изучению которого мы сейчас перейдем, будет встречаться нам почти всюду; хотя мы начнем с чисто механических примеров грузика на пружинке, малых отклонений маятника или каких-то других механических устройств, на самом деле мы будем изучать некое дифференциальное уравнение. Это уравнение непрестанно встречается в физике и в других науках и фактически описывает столь многие явления, что стоит того, чтобы изучить его получше. Такое уравнение описывает колебания грузика на пружинке, колебания заряда, текущего взад и вперед по электрической цепи, колебания камертона, порождающие звуковые волны, аналогичные колебания электронов в атоме, порождающие световые волны. Мы привели неполный список явлений, которые описы¬ваются почти теми же уравнениями, что и механический осциллятор. Эти уравнения называются линейными дифференциальными уравнениями с постоянными коэффициентами.</w:t>
      </w:r>
    </w:p>
    <w:bookmarkEnd w:id="21"/>
    <w:bookmarkStart w:id="30" w:name="математический-маятник"/>
    <w:p>
      <w:pPr>
        <w:pStyle w:val="Heading1"/>
      </w:pPr>
      <w:r>
        <w:t xml:space="preserve">Математический маятник</w:t>
      </w:r>
    </w:p>
    <w:p>
      <w:pPr>
        <w:pStyle w:val="FirstParagraph"/>
      </w:pPr>
      <w:r>
        <w:t xml:space="preserve">Рассмотрим математический маятник: небольшой1 грузик массы m на нерастяжимой невесомой нити длины l. Пусть этот маятник совершает малые колебания вблизи положения равновесия и в некоторый момент времени нить маятника составляет угол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с вертикалью (рис. 1). Трение, включая сопротивление среды, в системе отсутствует. Учитывая, что сила натяжения нити всегда перпендикулярна скорости движения маятника и поэтому не совершает работу, запишем для данной колебательной системы закон сохранения энергии:</w:t>
      </w:r>
    </w:p>
    <w:p>
      <w:pPr>
        <w:pStyle w:val="CaptionedFigure"/>
      </w:pPr>
      <w:bookmarkStart w:id="23" w:name="fig:001"/>
      <w:r>
        <w:drawing>
          <wp:inline>
            <wp:extent cx="2945330" cy="3051208"/>
            <wp:effectExtent b="0" l="0" r="0" t="0"/>
            <wp:docPr descr="Figure 1: Рисунок 1. Математический маятник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0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Рисунок 1. Математический маятник.</w:t>
      </w:r>
    </w:p>
    <w:p>
      <w:pPr>
        <w:pStyle w:val="BodyText"/>
      </w:pPr>
      <m:oMath>
        <m:f>
          <m:fPr>
            <m:type m:val="bar"/>
          </m:fPr>
          <m:num>
            <m:r>
              <m:t>m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</m:oMath>
      <w:r>
        <w:t xml:space="preserve"> </w:t>
      </w:r>
      <w:r>
        <w:t xml:space="preserve">+ mgl(1-cos</w:t>
      </w:r>
      <m:oMath>
        <m:r>
          <m:t>α</m:t>
        </m:r>
      </m:oMath>
      <w:r>
        <w:t xml:space="preserve">)=</w:t>
      </w:r>
      <m:oMath>
        <m:sSub>
          <m:e>
            <m:r>
              <m:t>E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где ноль потенциальной энергии принят в положении равновесия. Воспользовавшись условием, что колебания происходят с малой амплитудой (т. е. угол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мал), используем приближение cos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1 -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</m:oMath>
      <w:r>
        <w:t xml:space="preserve"> </w:t>
      </w:r>
      <w:r>
        <w:t xml:space="preserve">.</w:t>
      </w:r>
      <w:r>
        <w:t xml:space="preserve"> </w:t>
      </w:r>
      <w:r>
        <w:t xml:space="preserve">Скорость движения грузика v =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l =</w:t>
      </w:r>
      <w:r>
        <w:t xml:space="preserve"> </w:t>
      </w:r>
      <m:oMath>
        <m:r>
          <m:t>α</m:t>
        </m:r>
      </m:oMath>
      <w:r>
        <w:t xml:space="preserve">l, где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— мгновенная угловая скорость вращения. Тогда уравнение (1) принимает вид</w:t>
      </w:r>
    </w:p>
    <w:p>
      <w:pPr>
        <w:pStyle w:val="BodyText"/>
      </w:pPr>
      <m:oMath>
        <m:f>
          <m:fPr>
            <m:type m:val="bar"/>
          </m:fPr>
          <m:num>
            <m:r>
              <m:t>m</m:t>
            </m:r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  <m:r>
              <m:t>α</m:t>
            </m:r>
            <m:r>
              <m:rPr>
                <m:sty m:val="p"/>
              </m:rPr>
              <m:t>′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+</w:t>
      </w:r>
      <w:r>
        <w:t xml:space="preserve"> </w:t>
      </w:r>
      <m:oMath>
        <m:f>
          <m:fPr>
            <m:type m:val="bar"/>
          </m:fPr>
          <m:num>
            <m:r>
              <m:t>m</m:t>
            </m:r>
            <m:r>
              <m:t>g</m:t>
            </m:r>
            <m:r>
              <m:t>l</m:t>
            </m:r>
            <m:r>
              <m:t>α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=</w:t>
      </w:r>
      <m:oMath>
        <m:sSub>
          <m:e>
            <m:r>
              <m:t>E</m:t>
            </m:r>
          </m:e>
          <m:sub>
            <m:r>
              <m:t>0</m:t>
            </m:r>
          </m:sub>
        </m:sSub>
      </m:oMath>
      <w:r>
        <w:t xml:space="preserve">, или</w:t>
      </w:r>
      <w:r>
        <w:t xml:space="preserve"> </w:t>
      </w:r>
      <m:oMath>
        <m:r>
          <m:t>α</m:t>
        </m:r>
        <m:sSup>
          <m:e>
            <m:r>
              <m:rPr>
                <m:sty m:val="p"/>
              </m:rPr>
              <m:t>′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+</w:t>
      </w:r>
      <w:r>
        <w:t xml:space="preserve"> </w:t>
      </w:r>
      <m:oMath>
        <m:f>
          <m:fPr>
            <m:type m:val="bar"/>
          </m:fPr>
          <m:num>
            <m:r>
              <m:t>g</m:t>
            </m:r>
          </m:num>
          <m:den>
            <m:r>
              <m:t>l</m:t>
            </m:r>
          </m:den>
        </m:f>
      </m:oMath>
      <w:r>
        <w:t xml:space="preserve"> </w:t>
      </w:r>
      <w:r>
        <w:t xml:space="preserve">*</w:t>
      </w:r>
      <w:r>
        <w:t xml:space="preserve"> </w:t>
      </w:r>
      <m:oMath>
        <m:sSup>
          <m:e>
            <m:r>
              <m:t>α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b>
              <m:e>
                <m:r>
                  <m:t>E</m:t>
                </m:r>
              </m:e>
              <m:sub>
                <m:r>
                  <m:t>0</m:t>
                </m:r>
              </m:sub>
            </m:sSub>
          </m:num>
          <m:den>
            <m:r>
              <m:t>m</m:t>
            </m:r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После дифференцирования имеем</w:t>
      </w:r>
    </w:p>
    <w:p>
      <w:pPr>
        <w:pStyle w:val="BodyText"/>
      </w:pPr>
      <m:oMath>
        <m:r>
          <m:t>α</m:t>
        </m:r>
        <m:r>
          <m:rPr>
            <m:sty m:val="p"/>
          </m:rPr>
          <m:t>″</m:t>
        </m:r>
      </m:oMath>
      <w:r>
        <w:t xml:space="preserve"> </w:t>
      </w:r>
      <w:r>
        <w:t xml:space="preserve">+</w:t>
      </w:r>
      <w:r>
        <w:t xml:space="preserve"> </w:t>
      </w:r>
      <m:oMath>
        <m:f>
          <m:fPr>
            <m:type m:val="bar"/>
          </m:fPr>
          <m:num>
            <m:r>
              <m:t>g</m:t>
            </m:r>
          </m:num>
          <m:den>
            <m:r>
              <m:t>l</m:t>
            </m:r>
          </m:den>
        </m:f>
      </m:oMath>
      <w:r>
        <w:t xml:space="preserve"> </w:t>
      </w:r>
      <w:r>
        <w:t xml:space="preserve">*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</w:t>
      </w:r>
    </w:p>
    <w:p>
      <w:pPr>
        <w:pStyle w:val="BodyText"/>
      </w:pPr>
      <w:r>
        <w:t xml:space="preserve">или, вводя обозначение</w:t>
      </w:r>
      <w:r>
        <w:t xml:space="preserve"> </w:t>
      </w:r>
      <m:oMath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g</m:t>
            </m:r>
          </m:num>
          <m:den>
            <m:r>
              <m:t>l</m:t>
            </m:r>
          </m:den>
        </m:f>
      </m:oMath>
      <w:r>
        <w:t xml:space="preserve">, получаем</w:t>
      </w:r>
    </w:p>
    <w:p>
      <w:pPr>
        <w:pStyle w:val="BodyText"/>
      </w:pPr>
      <m:oMath>
        <m:r>
          <m:t>α</m:t>
        </m:r>
        <m:r>
          <m:rPr>
            <m:sty m:val="p"/>
          </m:rPr>
          <m:t>″</m:t>
        </m:r>
      </m:oMath>
      <w:r>
        <w:t xml:space="preserve"> </w:t>
      </w:r>
      <w:r>
        <w:t xml:space="preserve">+</w:t>
      </w:r>
      <w:r>
        <w:t xml:space="preserve"> </w:t>
      </w:r>
      <m:oMath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*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 (2)</w:t>
      </w:r>
    </w:p>
    <w:p>
      <w:pPr>
        <w:pStyle w:val="BodyText"/>
      </w:pPr>
      <w:r>
        <w:t xml:space="preserve">аналогичное уравнению</w:t>
      </w:r>
    </w:p>
    <w:p>
      <w:pPr>
        <w:pStyle w:val="BodyText"/>
      </w:pPr>
      <w:r>
        <w:t xml:space="preserve">x’’ +</w:t>
      </w:r>
      <w:r>
        <w:t xml:space="preserve"> </w:t>
      </w:r>
      <m:oMath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</m:oMath>
      <w:r>
        <w:t xml:space="preserve">x = 0</w:t>
      </w:r>
    </w:p>
    <w:p>
      <w:pPr>
        <w:pStyle w:val="BodyText"/>
      </w:pPr>
      <w:r>
        <w:t xml:space="preserve">Период колебаний такого маятника:</w:t>
      </w:r>
    </w:p>
    <w:p>
      <w:pPr>
        <w:pStyle w:val="BodyText"/>
      </w:pPr>
      <w:r>
        <w:t xml:space="preserve">T=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sSub>
              <m:e>
                <m:r>
                  <m:t>ω</m:t>
                </m:r>
              </m:e>
              <m:sub>
                <m:r>
                  <m:t>0</m:t>
                </m:r>
              </m:sub>
            </m:sSub>
          </m:den>
        </m:f>
      </m:oMath>
      <w:r>
        <w:t xml:space="preserve">= 2</w:t>
      </w:r>
      <w:r>
        <w:t xml:space="preserve"> </w:t>
      </w:r>
      <m:oMath>
        <m:r>
          <m:t>π</m:t>
        </m:r>
      </m:oMath>
      <w:r>
        <w:t xml:space="preserve"> </w:t>
      </w:r>
      <m:oMath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g</m:t>
                </m:r>
              </m:den>
            </m:f>
          </m:e>
        </m:rad>
      </m:oMath>
    </w:p>
    <w:p>
      <w:pPr>
        <w:pStyle w:val="BodyText"/>
      </w:pPr>
      <w:r>
        <w:t xml:space="preserve">Рассмотрим математический маятник длины l и массы m, совершающий малые колебания вблизи положения равновесия и испытывающий со стороны окружающей среды воздействие силы трения, величина которой пропорциональна скорости грузика маятника (коэффициент пропорциональности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). Запишем для грузика маятника второй закон Ньютона в проекции на ось x (рис. 2):</w:t>
      </w:r>
    </w:p>
    <w:p>
      <w:pPr>
        <w:pStyle w:val="CaptionedFigure"/>
      </w:pPr>
      <w:bookmarkStart w:id="25" w:name="fig:002"/>
      <w:r>
        <w:drawing>
          <wp:inline>
            <wp:extent cx="3157086" cy="3147461"/>
            <wp:effectExtent b="0" l="0" r="0" t="0"/>
            <wp:docPr descr="Figure 2: Рисунок 2. Математический маятник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6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Рисунок 2. Математический маятник.</w:t>
      </w:r>
    </w:p>
    <w:p>
      <w:pPr>
        <w:pStyle w:val="BodyText"/>
      </w:pPr>
      <w:r>
        <w:t xml:space="preserve">m*v’’ = -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v - mg sin</w:t>
      </w:r>
      <w:r>
        <w:t xml:space="preserve"> </w:t>
      </w:r>
      <m:oMath>
        <m:r>
          <m:t>α</m:t>
        </m:r>
      </m:oMath>
    </w:p>
    <w:p>
      <w:pPr>
        <w:pStyle w:val="BodyText"/>
      </w:pPr>
      <w:r>
        <w:t xml:space="preserve">учитывая, что v=l</w:t>
      </w:r>
      <m:oMath>
        <m:r>
          <m:t>α</m:t>
        </m:r>
        <m:r>
          <m:rPr>
            <m:sty m:val="p"/>
          </m:rPr>
          <m:t>′</m:t>
        </m:r>
      </m:oMath>
      <w:r>
        <w:t xml:space="preserve"> </w:t>
      </w:r>
      <w:r>
        <w:t xml:space="preserve">, а колебания малые, получаем</w:t>
      </w:r>
    </w:p>
    <w:p>
      <w:pPr>
        <w:pStyle w:val="BodyText"/>
      </w:pPr>
      <m:oMath>
        <m:r>
          <m:t>α</m:t>
        </m:r>
      </m:oMath>
      <w:r>
        <w:t xml:space="preserve">’’ +</w:t>
      </w:r>
      <w:r>
        <w:t xml:space="preserve"> </w:t>
      </w:r>
      <m:oMath>
        <m:f>
          <m:fPr>
            <m:type m:val="bar"/>
          </m:fPr>
          <m:num>
            <m:r>
              <m:t>β</m:t>
            </m:r>
          </m:num>
          <m:den>
            <m:r>
              <m:t>m</m:t>
            </m:r>
          </m:den>
        </m:f>
      </m:oMath>
      <w:r>
        <w:t xml:space="preserve"> </w:t>
      </w:r>
      <w:r>
        <w:t xml:space="preserve">*</w:t>
      </w:r>
      <w:r>
        <w:t xml:space="preserve"> </w:t>
      </w:r>
      <m:oMath>
        <m:r>
          <m:t>α</m:t>
        </m:r>
      </m:oMath>
      <w:r>
        <w:t xml:space="preserve">’ + g * l *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</w:t>
      </w:r>
    </w:p>
    <w:p>
      <w:pPr>
        <w:pStyle w:val="BodyText"/>
      </w:pPr>
      <w:r>
        <w:t xml:space="preserve">или вводя обозначения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β</m:t>
            </m:r>
          </m:num>
          <m:den>
            <m:r>
              <m:t>2</m:t>
            </m:r>
            <m:r>
              <m:t>m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g</m:t>
            </m:r>
          </m:num>
          <m:den>
            <m:r>
              <m:t>l</m:t>
            </m:r>
          </m:den>
        </m:f>
      </m:oMath>
      <w:r>
        <w:t xml:space="preserve">, находим</w:t>
      </w:r>
      <w:r>
        <w:t xml:space="preserve"> </w:t>
      </w:r>
      <m:oMath>
        <m:r>
          <m:t>α</m:t>
        </m:r>
      </m:oMath>
      <w:r>
        <w:t xml:space="preserve">’’ + 2</w:t>
      </w:r>
      <m:oMath>
        <m:r>
          <m:t>δ</m:t>
        </m:r>
      </m:oMath>
      <w:r>
        <w:t xml:space="preserve"> </w:t>
      </w:r>
      <m:oMath>
        <m:r>
          <m:t>α</m:t>
        </m:r>
        <m:r>
          <m:rPr>
            <m:sty m:val="p"/>
          </m:rPr>
          <m:t>″</m:t>
        </m:r>
      </m:oMath>
      <w:r>
        <w:t xml:space="preserve"> </w:t>
      </w:r>
      <w:r>
        <w:t xml:space="preserve">+</w:t>
      </w:r>
      <w:r>
        <w:t xml:space="preserve"> </w:t>
      </w:r>
      <m:oMath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 (3)</w:t>
      </w:r>
    </w:p>
    <w:p>
      <w:pPr>
        <w:pStyle w:val="BodyText"/>
      </w:pPr>
      <w:r>
        <w:t xml:space="preserve">В обоих приведенных примерах мы пришли к уравнению свободных затухающих гармонических колебаний:</w:t>
      </w:r>
    </w:p>
    <w:p>
      <w:pPr>
        <w:pStyle w:val="BodyText"/>
      </w:pPr>
      <w:r>
        <w:t xml:space="preserve">X’’ + 2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x’ +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x =0. (4)</w:t>
      </w:r>
    </w:p>
    <w:p>
      <w:pPr>
        <w:pStyle w:val="BodyText"/>
      </w:pPr>
      <w:r>
        <w:t xml:space="preserve">В зависимости от соотношения между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уравнение (4) будет иметь различные решения:</w:t>
      </w:r>
    </w:p>
    <w:p>
      <w:pPr>
        <w:numPr>
          <w:ilvl w:val="0"/>
          <w:numId w:val="1001"/>
        </w:numPr>
        <w:pStyle w:val="Compact"/>
      </w:pPr>
      <w:r>
        <w:t xml:space="preserve">При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&gt;</w:t>
      </w:r>
      <w:r>
        <w:t xml:space="preserve"> </w:t>
      </w:r>
      <m:oMath>
        <m:sSup>
          <m:e>
            <m:r>
              <m:t>δ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решение уравнения (4) имеет вид</w:t>
      </w:r>
    </w:p>
    <w:p>
      <w:pPr>
        <w:pStyle w:val="FirstParagraph"/>
      </w:pPr>
      <w:r>
        <w:t xml:space="preserve">x(t) =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δ</m:t>
            </m:r>
            <m:r>
              <m:t>t</m:t>
            </m:r>
          </m:sup>
        </m:sSup>
      </m:oMath>
      <w:r>
        <w:t xml:space="preserve"> </w:t>
      </w:r>
      <w:r>
        <w:t xml:space="preserve">cos(</w:t>
      </w:r>
      <m:oMath>
        <m:r>
          <m:t>ω</m:t>
        </m:r>
      </m:oMath>
      <w:r>
        <w:t xml:space="preserve"> </w:t>
      </w:r>
      <w:r>
        <w:t xml:space="preserve">t +</w:t>
      </w:r>
      <m:oMath>
        <m:r>
          <m:t>φ</m:t>
        </m:r>
      </m:oMath>
      <w:r>
        <w:t xml:space="preserve">),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=</w:t>
      </w:r>
      <w:r>
        <w:t xml:space="preserve"> </w:t>
      </w:r>
      <m:oMath>
        <m:rad>
          <m:radPr>
            <m:degHide m:val="1"/>
          </m:radPr>
          <m:deg/>
          <m:e>
            <m:sSubSup>
              <m:e>
                <m:r>
                  <m:t>ω</m:t>
                </m:r>
              </m:e>
              <m:sub>
                <m:r>
                  <m:t>0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(5)</w:t>
      </w:r>
    </w:p>
    <w:p>
      <w:pPr>
        <w:pStyle w:val="BodyText"/>
      </w:pPr>
      <w:r>
        <w:t xml:space="preserve">где величины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амплитуда колебаний и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— начальная фаза колебаний определяются из начальных условий. График таких затухающих колебаний, а также изображение на фазовой плоскости приведены (рис. 3):</w:t>
      </w:r>
      <w:r>
        <w:t xml:space="preserve"> </w:t>
      </w:r>
      <w:r>
        <w:t xml:space="preserve">Для характеристики того, насколько быстро происходит затухание колебаний, вводят характерное время затухания T=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δ</m:t>
            </m:r>
          </m:den>
        </m:f>
      </m:oMath>
      <w:r>
        <w:t xml:space="preserve"> </w:t>
      </w:r>
      <w:r>
        <w:t xml:space="preserve">, представляющее собой время, за которое амплитуда колебаний уменьшится в e раз.</w:t>
      </w:r>
    </w:p>
    <w:p>
      <w:pPr>
        <w:pStyle w:val="CaptionedFigure"/>
      </w:pPr>
      <w:bookmarkStart w:id="27" w:name="fig:003"/>
      <w:r>
        <w:drawing>
          <wp:inline>
            <wp:extent cx="5334000" cy="1942520"/>
            <wp:effectExtent b="0" l="0" r="0" t="0"/>
            <wp:docPr descr="Figure 3: Рис 3 и 4. Зависимость координаты x от времени t и фазовая диаграмма затухающих колебани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Рис 3 и 4. Зависимость координаты x от времени t и фазовая диаграмма затухающих колебаний</w:t>
      </w:r>
    </w:p>
    <w:p>
      <w:pPr>
        <w:pStyle w:val="BodyText"/>
      </w:pPr>
      <w:r>
        <w:t xml:space="preserve">б) При</w:t>
      </w:r>
      <w:r>
        <w:t xml:space="preserve"> </w:t>
      </w:r>
      <m:oMath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</w:t>
      </w:r>
      <w:r>
        <w:t xml:space="preserve"> </w:t>
      </w:r>
      <m:oMath>
        <m:sSup>
          <m:e>
            <m:r>
              <m:t>δ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решение уравнения (4) имеет вид</w:t>
      </w:r>
    </w:p>
    <w:p>
      <w:pPr>
        <w:pStyle w:val="BodyText"/>
      </w:pPr>
      <w:r>
        <w:t xml:space="preserve">x(t) =</w:t>
      </w:r>
      <w:r>
        <w:t xml:space="preserve"> </w:t>
      </w:r>
      <m:oMath>
        <m:sSub>
          <m:e>
            <m:r>
              <m:t>x</m:t>
            </m:r>
          </m:e>
          <m:sub>
            <m:r>
              <m:t>01</m:t>
            </m:r>
          </m:sub>
        </m:sSub>
      </m:oMath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δ</m:t>
            </m:r>
            <m:r>
              <m:t>t</m:t>
            </m:r>
          </m:sup>
        </m:sSup>
      </m:oMath>
      <w:r>
        <w:t xml:space="preserve"> </w:t>
      </w:r>
      <m:oMath>
        <m:sSup>
          <m:e>
            <m:r>
              <m:t>e</m:t>
            </m:r>
          </m:e>
          <m:sup>
            <m:rad>
              <m:radPr>
                <m:degHide m:val="1"/>
              </m:radPr>
              <m:deg/>
              <m:e>
                <m:r>
                  <m:rPr>
                    <m:sty m:val="p"/>
                  </m:rPr>
                  <m:t>(</m:t>
                </m:r>
                <m:sSup>
                  <m:e>
                    <m:r>
                      <m:t>δ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ω</m:t>
                    </m:r>
                  </m:e>
                  <m:sub>
                    <m:r>
                      <m:t>0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)</m:t>
                </m:r>
              </m:e>
            </m:rad>
            <m:r>
              <m:t>t</m:t>
            </m:r>
          </m:sup>
        </m:sSup>
      </m:oMath>
      <w:r>
        <w:t xml:space="preserve"> </w:t>
      </w:r>
      <w:r>
        <w:t xml:space="preserve">+</w:t>
      </w:r>
      <w:r>
        <w:t xml:space="preserve"> </w:t>
      </w:r>
      <m:oMath>
        <m:sSub>
          <m:e>
            <m:r>
              <m:t>x</m:t>
            </m:r>
          </m:e>
          <m:sub>
            <m:r>
              <m:t>02</m:t>
            </m:r>
          </m:sub>
        </m:sSub>
      </m:oMath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δ</m:t>
            </m:r>
            <m:r>
              <m:t>t</m:t>
            </m:r>
          </m:sup>
        </m:sSup>
      </m:oMath>
      <w:r>
        <w:t xml:space="preserve"> </w:t>
      </w:r>
      <m:oMath>
        <m:sSup>
          <m:e>
            <m:r>
              <m:t>e</m:t>
            </m:r>
          </m:e>
          <m:sup>
            <m:rad>
              <m:radPr>
                <m:degHide m:val="1"/>
              </m:radPr>
              <m:deg/>
              <m:e>
                <m:r>
                  <m:rPr>
                    <m:sty m:val="p"/>
                  </m:rPr>
                  <m:t>(</m:t>
                </m:r>
                <m:sSup>
                  <m:e>
                    <m:r>
                      <m:t>δ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ω</m:t>
                    </m:r>
                  </m:e>
                  <m:sub>
                    <m:r>
                      <m:t>0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)</m:t>
                </m:r>
              </m:e>
            </m:rad>
            <m:r>
              <m:t>t</m:t>
            </m:r>
          </m:sup>
        </m:sSup>
      </m:oMath>
      <w:r>
        <w:t xml:space="preserve"> </w:t>
      </w:r>
      <w:r>
        <w:t xml:space="preserve">(6)</w:t>
      </w:r>
    </w:p>
    <w:p>
      <w:pPr>
        <w:pStyle w:val="BodyText"/>
      </w:pPr>
      <w:r>
        <w:t xml:space="preserve">в) При</w:t>
      </w:r>
      <w:r>
        <w:t xml:space="preserve"> </w:t>
      </w:r>
      <m:oMath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δ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решение уравнения (4) имеет вид</w:t>
      </w:r>
    </w:p>
    <w:p>
      <w:pPr>
        <w:pStyle w:val="BodyText"/>
      </w:pPr>
      <w:r>
        <w:t xml:space="preserve">Величины</w:t>
      </w:r>
      <w:r>
        <w:t xml:space="preserve"> </w:t>
      </w:r>
      <m:oMath>
        <m:sSub>
          <m:e>
            <m:r>
              <m:t>x</m:t>
            </m:r>
          </m:e>
          <m:sub>
            <m:r>
              <m:t>01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02</m:t>
            </m:r>
          </m:sub>
        </m:sSub>
      </m:oMath>
      <w:r>
        <w:t xml:space="preserve"> </w:t>
      </w:r>
      <w:r>
        <w:t xml:space="preserve">также определяются из начальных условий</w:t>
      </w:r>
    </w:p>
    <w:p>
      <w:pPr>
        <w:pStyle w:val="BodyText"/>
      </w:pPr>
      <w:r>
        <w:t xml:space="preserve">x(t) =</w:t>
      </w:r>
      <w:r>
        <w:t xml:space="preserve"> </w:t>
      </w:r>
      <m:oMath>
        <m:sSub>
          <m:e>
            <m:r>
              <m:t>x</m:t>
            </m:r>
          </m:e>
          <m:sub>
            <m:r>
              <m:t>01</m:t>
            </m:r>
          </m:sub>
        </m:sSub>
      </m:oMath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δ</m:t>
            </m:r>
            <m:r>
              <m:t>t</m:t>
            </m:r>
          </m:sup>
        </m:sSup>
      </m:oMath>
      <w:r>
        <w:t xml:space="preserve"> </w:t>
      </w:r>
      <w:r>
        <w:t xml:space="preserve">+</w:t>
      </w:r>
      <w:r>
        <w:t xml:space="preserve"> </w:t>
      </w:r>
      <m:oMath>
        <m:sSub>
          <m:e>
            <m:r>
              <m:t>x</m:t>
            </m:r>
          </m:e>
          <m:sub>
            <m:r>
              <m:t>02</m:t>
            </m:r>
          </m:sub>
        </m:sSub>
      </m:oMath>
      <w:r>
        <w:t xml:space="preserve">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δ</m:t>
            </m:r>
            <m:r>
              <m:t>t</m:t>
            </m:r>
          </m:sup>
        </m:sSup>
      </m:oMath>
      <w:r>
        <w:t xml:space="preserve"> </w:t>
      </w:r>
      <w:r>
        <w:t xml:space="preserve">(7)</w:t>
      </w:r>
      <w:r>
        <w:t xml:space="preserve"> </w:t>
      </w:r>
      <w:r>
        <w:t xml:space="preserve">Зависимости (6) и (7) носят апериодический характер и не являются колебаниями. Графики этих зависимостей приведены (рис. 4). Дальше мы будем рассматривать только случай</w:t>
      </w:r>
      <w:r>
        <w:t xml:space="preserve"> </w:t>
      </w:r>
      <m:oMath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&gt;</w:t>
      </w:r>
      <w:r>
        <w:t xml:space="preserve"> </w:t>
      </w:r>
      <m:oMath>
        <m:sSup>
          <m:e>
            <m:r>
              <m:t>δ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bookmarkStart w:id="29" w:name="fig:004"/>
      <w:r>
        <w:drawing>
          <wp:inline>
            <wp:extent cx="5334000" cy="1835703"/>
            <wp:effectExtent b="0" l="0" r="0" t="0"/>
            <wp:docPr descr="Figure 4: Рис 5 и 6. Пример осциллограмм в случае большого трен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Рис 5 и 6. Пример осциллограмм в случае большого трения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алгоритм задачи математического маятника.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Колебания цепочек</dc:title>
  <dc:creator>Гебриал Ибрам Есам Зекри НПИ-01-18; Каримов Зуфар Исматович НПИ-01-18; Волков Тимофей Евгеньевич НПИ-01-18; Гаджиев Нурсултан Тофик оглы НПИ-01-18</dc:creator>
  <dc:language>ru-RU</dc:language>
  <cp:keywords/>
  <dcterms:created xsi:type="dcterms:W3CDTF">2021-03-06T16:59:01Z</dcterms:created>
  <dcterms:modified xsi:type="dcterms:W3CDTF">2021-03-06T16:59:01Z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