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Каримов</w:t>
      </w:r>
      <w:r>
        <w:t xml:space="preserve"> </w:t>
      </w:r>
      <w:r>
        <w:t xml:space="preserve">Зуфар</w:t>
      </w:r>
      <w:r>
        <w:t xml:space="preserve"> </w:t>
      </w:r>
      <w:r>
        <w:t xml:space="preserve">Исматович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Вернама [1].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 (далее для краткости будем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Допустим, в тайной деловой переписке используется метод однократного наложения гаммы на открытый текст.</w:t>
      </w:r>
      <w:r>
        <w:t xml:space="preserve"> </w:t>
      </w: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языке программирования С++ обозначается знаком , а в математике – знаком [1].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[1].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блок функции для расчетов. (рис. 1)</w:t>
      </w:r>
    </w:p>
    <w:p>
      <w:pPr>
        <w:pStyle w:val="CaptionedFigure"/>
      </w:pPr>
      <w:bookmarkStart w:id="23" w:name="fig:001"/>
      <w:r>
        <w:drawing>
          <wp:inline>
            <wp:extent cx="5334000" cy="1137642"/>
            <wp:effectExtent b="0" l="0" r="0" t="0"/>
            <wp:docPr descr="Figure 1: 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zikarimov/os-intro/master/lab08/picture/8(1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Написал блок обработки данных. (рис. 2)</w:t>
      </w:r>
    </w:p>
    <w:p>
      <w:pPr>
        <w:pStyle w:val="CaptionedFigure"/>
      </w:pPr>
      <w:bookmarkStart w:id="25" w:name="fig:002"/>
      <w:r>
        <w:drawing>
          <wp:inline>
            <wp:extent cx="5334000" cy="2096095"/>
            <wp:effectExtent b="0" l="0" r="0" t="0"/>
            <wp:docPr descr="Figure 2: Блок данных и вывод результат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zikarimov/os-intro/master/lab08/picture/8(2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Блок данных и вывод результата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Как, зная один из текстов (P1 или P2), определить другой, не зная при этом</w:t>
      </w:r>
      <w:r>
        <w:t xml:space="preserve"> </w:t>
      </w:r>
      <w:r>
        <w:t xml:space="preserve">ключа?</w:t>
      </w:r>
    </w:p>
    <w:p>
      <w:pPr>
        <w:pStyle w:val="FirstParagraph"/>
      </w:pPr>
      <w:r>
        <w:t xml:space="preserve">Сложить по модулю 2 оба шифротекста и декодировать первый текст используя полученное значение и известный второй текст.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Оба текста, шифрованные одним ключом будут подвержены риску взлома.</w:t>
      </w:r>
    </w:p>
    <w:p>
      <w:pPr>
        <w:numPr>
          <w:ilvl w:val="0"/>
          <w:numId w:val="1005"/>
        </w:numPr>
        <w:pStyle w:val="Compact"/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</w:p>
    <w:p>
      <w:pPr>
        <w:pStyle w:val="FirstParagraph"/>
      </w:pPr>
      <w:r>
        <w:t xml:space="preserve">Шифруем оба текста одним ключом.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Подверженость риску взлома.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Используется меньше ключей.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Гаммирование. Моделирование работы скремблера// URL: https://ami.nstu.ru</w:t>
      </w:r>
    </w:p>
    <w:p>
      <w:pPr>
        <w:pStyle w:val="FirstParagraph"/>
      </w:pPr>
      <w:r>
        <w:t xml:space="preserve">/~gultyaeva/pszi/Materials/lab1.pdf (дата обращения: 10.12.2021).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Каримов Зуфар Исматович НПИ-01-18</dc:creator>
  <dc:language>ru-RU</dc:language>
  <cp:keywords/>
  <dcterms:created xsi:type="dcterms:W3CDTF">2021-12-18T17:30:46Z</dcterms:created>
  <dcterms:modified xsi:type="dcterms:W3CDTF">2021-12-18T17:30:46Z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