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接入局域网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在进入Web界面时，需要先连接实验室WiFi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WiFi名称：chuangxinWeb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WiFi密码：chuangxin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21585" cy="842645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打开地址，进入网页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连接成功后，打开浏览器并输入：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"http://192.168.31.49"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http://192.168.31.49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18305" cy="2525395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注册账号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进入网页后，点击注册按钮，进行实名制注册，注册时用户名为自己姓名拼音，例如：用户名：Zhang-Wen-Quan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16730" cy="258445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等待授权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为防止信息泄漏等问题，需要联系管理员赋予一定权限才可以解锁社区内容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8294AE"/>
    <w:multiLevelType w:val="singleLevel"/>
    <w:tmpl w:val="C98294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1ZTA4ODVhNzRjYTMwYTc2OGYyNTQ3NzgyMzMzYzQifQ=="/>
  </w:docVars>
  <w:rsids>
    <w:rsidRoot w:val="00000000"/>
    <w:rsid w:val="107871CC"/>
    <w:rsid w:val="1DBC71D5"/>
    <w:rsid w:val="250E3F9A"/>
    <w:rsid w:val="5A166EE5"/>
    <w:rsid w:val="5D4F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2023-11-06T02:53:00Z</dcterms:created>
  <dc:creator>23690</dc:creator>
  <cp:lastModifiedBy>张文泉</cp:lastModifiedBy>
  <dcterms:modified xsi:type="dcterms:W3CDTF">2023-11-26T11:47:16Z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ABCFC439119C497F80B157EE19247F68_13</vt:lpwstr>
  </property>
</Properties>
</file>