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16655"/>
    <w:p w14:paraId="0B926EC7"/>
    <w:p w14:paraId="28EDEF0F"/>
    <w:p w14:paraId="62BB84A6"/>
    <w:p w14:paraId="4420234A"/>
    <w:p w14:paraId="42A18D22"/>
    <w:p w14:paraId="134B096E"/>
    <w:p w14:paraId="2E5129AA">
      <w:pPr>
        <w:jc w:val="center"/>
      </w:pPr>
      <w:r>
        <w:rPr>
          <w:rFonts w:ascii="黑体" w:hAnsi="黑体" w:eastAsia="黑体"/>
          <w:b/>
          <w:sz w:val="48"/>
        </w:rPr>
        <w:t>麻生销售数据大屏智能化系统</w:t>
      </w:r>
    </w:p>
    <w:p w14:paraId="573FF9DC"/>
    <w:p w14:paraId="1173283A"/>
    <w:p w14:paraId="51569CF0">
      <w:pPr>
        <w:jc w:val="center"/>
      </w:pPr>
      <w:r>
        <w:rPr>
          <w:rFonts w:ascii="黑体" w:hAnsi="黑体" w:eastAsia="黑体"/>
          <w:b/>
          <w:sz w:val="48"/>
        </w:rPr>
        <w:t>用户手册</w:t>
      </w:r>
    </w:p>
    <w:p w14:paraId="1CF2C210"/>
    <w:p w14:paraId="158B9FDB"/>
    <w:p w14:paraId="0ABA88F0"/>
    <w:p w14:paraId="386BE734"/>
    <w:p w14:paraId="6731D954"/>
    <w:p w14:paraId="6BAE3E25"/>
    <w:p w14:paraId="0EA8879E"/>
    <w:p w14:paraId="40EECEB6"/>
    <w:p w14:paraId="7617E7D3"/>
    <w:p w14:paraId="6F830D38"/>
    <w:p w14:paraId="6826F06D">
      <w:pPr>
        <w:jc w:val="center"/>
      </w:pPr>
      <w:r>
        <w:rPr>
          <w:rFonts w:ascii="宋体" w:hAnsi="宋体" w:eastAsia="宋体"/>
          <w:sz w:val="26"/>
        </w:rPr>
        <w:t>版本：V1.0.0</w:t>
      </w:r>
    </w:p>
    <w:p w14:paraId="7196CFBE">
      <w:pPr>
        <w:jc w:val="center"/>
      </w:pPr>
      <w:r>
        <w:rPr>
          <w:rFonts w:ascii="宋体" w:hAnsi="宋体" w:eastAsia="宋体"/>
          <w:sz w:val="26"/>
        </w:rPr>
        <w:t>权利人：麻生环球科技有限公司</w:t>
      </w:r>
    </w:p>
    <w:p w14:paraId="6D8936D1">
      <w:r>
        <w:br w:type="page"/>
      </w:r>
    </w:p>
    <w:sdt>
      <w:sdtPr>
        <w:rPr>
          <w:rFonts w:ascii="宋体" w:hAnsi="宋体" w:eastAsia="宋体" w:cstheme="minorBidi"/>
          <w:sz w:val="21"/>
          <w:szCs w:val="22"/>
          <w:lang w:val="en-US" w:eastAsia="en-US" w:bidi="ar-SA"/>
        </w:rPr>
        <w:id w:val="11912958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7BD9E9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2E4B6E3">
          <w:pPr>
            <w:pStyle w:val="26"/>
            <w:tabs>
              <w:tab w:val="right" w:leader="dot" w:pos="10095"/>
            </w:tabs>
          </w:pPr>
          <w:r>
            <w:fldChar w:fldCharType="begin"/>
          </w:r>
          <w:r>
            <w:instrText xml:space="preserve">TOC \o "1-3" \h \u </w:instrText>
          </w:r>
          <w:r>
            <w:fldChar w:fldCharType="separate"/>
          </w:r>
          <w:r>
            <w:fldChar w:fldCharType="begin"/>
          </w:r>
          <w:r>
            <w:instrText xml:space="preserve"> HYPERLINK \l _Toc549296194 </w:instrText>
          </w:r>
          <w:r>
            <w:fldChar w:fldCharType="separate"/>
          </w:r>
          <w:r>
            <w:rPr>
              <w:rFonts w:ascii="黑体" w:hAnsi="黑体" w:eastAsia="黑体"/>
            </w:rPr>
            <w:t>1 系统概述</w:t>
          </w:r>
          <w:r>
            <w:tab/>
          </w:r>
          <w:r>
            <w:fldChar w:fldCharType="begin"/>
          </w:r>
          <w:r>
            <w:instrText xml:space="preserve"> PAGEREF _Toc549296194 \h </w:instrText>
          </w:r>
          <w:r>
            <w:fldChar w:fldCharType="separate"/>
          </w:r>
          <w:r>
            <w:t>4</w:t>
          </w:r>
          <w:r>
            <w:fldChar w:fldCharType="end"/>
          </w:r>
          <w:r>
            <w:fldChar w:fldCharType="end"/>
          </w:r>
        </w:p>
        <w:p w14:paraId="33F9D108">
          <w:pPr>
            <w:pStyle w:val="29"/>
            <w:tabs>
              <w:tab w:val="right" w:leader="dot" w:pos="10095"/>
            </w:tabs>
          </w:pPr>
          <w:r>
            <w:fldChar w:fldCharType="begin"/>
          </w:r>
          <w:r>
            <w:instrText xml:space="preserve"> HYPERLINK \l _Toc2136417752 </w:instrText>
          </w:r>
          <w:r>
            <w:fldChar w:fldCharType="separate"/>
          </w:r>
          <w:r>
            <w:rPr>
              <w:rFonts w:ascii="黑体" w:hAnsi="黑体" w:eastAsia="黑体"/>
            </w:rPr>
            <w:t>1.1 软件主要功能</w:t>
          </w:r>
          <w:r>
            <w:tab/>
          </w:r>
          <w:r>
            <w:fldChar w:fldCharType="begin"/>
          </w:r>
          <w:r>
            <w:instrText xml:space="preserve"> PAGEREF _Toc2136417752 \h </w:instrText>
          </w:r>
          <w:r>
            <w:fldChar w:fldCharType="separate"/>
          </w:r>
          <w:r>
            <w:t>4</w:t>
          </w:r>
          <w:r>
            <w:fldChar w:fldCharType="end"/>
          </w:r>
          <w:r>
            <w:fldChar w:fldCharType="end"/>
          </w:r>
        </w:p>
        <w:p w14:paraId="510BC7D4">
          <w:pPr>
            <w:pStyle w:val="29"/>
            <w:tabs>
              <w:tab w:val="right" w:leader="dot" w:pos="10095"/>
            </w:tabs>
          </w:pPr>
          <w:r>
            <w:fldChar w:fldCharType="begin"/>
          </w:r>
          <w:r>
            <w:instrText xml:space="preserve"> HYPERLINK \l _Toc846580024 </w:instrText>
          </w:r>
          <w:r>
            <w:fldChar w:fldCharType="separate"/>
          </w:r>
          <w:r>
            <w:rPr>
              <w:rFonts w:ascii="黑体" w:hAnsi="黑体" w:eastAsia="黑体"/>
            </w:rPr>
            <w:t>1.2 适用场景</w:t>
          </w:r>
          <w:r>
            <w:tab/>
          </w:r>
          <w:r>
            <w:fldChar w:fldCharType="begin"/>
          </w:r>
          <w:r>
            <w:instrText xml:space="preserve"> PAGEREF _Toc846580024 \h </w:instrText>
          </w:r>
          <w:r>
            <w:fldChar w:fldCharType="separate"/>
          </w:r>
          <w:r>
            <w:t>4</w:t>
          </w:r>
          <w:r>
            <w:fldChar w:fldCharType="end"/>
          </w:r>
          <w:r>
            <w:fldChar w:fldCharType="end"/>
          </w:r>
        </w:p>
        <w:p w14:paraId="5451E2FA">
          <w:pPr>
            <w:pStyle w:val="26"/>
            <w:tabs>
              <w:tab w:val="right" w:leader="dot" w:pos="10095"/>
            </w:tabs>
          </w:pPr>
          <w:r>
            <w:fldChar w:fldCharType="begin"/>
          </w:r>
          <w:r>
            <w:instrText xml:space="preserve"> HYPERLINK \l _Toc1391301993 </w:instrText>
          </w:r>
          <w:r>
            <w:fldChar w:fldCharType="separate"/>
          </w:r>
          <w:r>
            <w:rPr>
              <w:rFonts w:ascii="黑体" w:hAnsi="黑体" w:eastAsia="黑体"/>
            </w:rPr>
            <w:t>2 运行环境</w:t>
          </w:r>
          <w:r>
            <w:tab/>
          </w:r>
          <w:r>
            <w:fldChar w:fldCharType="begin"/>
          </w:r>
          <w:r>
            <w:instrText xml:space="preserve"> PAGEREF _Toc1391301993 \h </w:instrText>
          </w:r>
          <w:r>
            <w:fldChar w:fldCharType="separate"/>
          </w:r>
          <w:r>
            <w:t>5</w:t>
          </w:r>
          <w:r>
            <w:fldChar w:fldCharType="end"/>
          </w:r>
          <w:r>
            <w:fldChar w:fldCharType="end"/>
          </w:r>
        </w:p>
        <w:p w14:paraId="08671B8D">
          <w:pPr>
            <w:pStyle w:val="29"/>
            <w:tabs>
              <w:tab w:val="right" w:leader="dot" w:pos="10095"/>
            </w:tabs>
          </w:pPr>
          <w:r>
            <w:fldChar w:fldCharType="begin"/>
          </w:r>
          <w:r>
            <w:instrText xml:space="preserve"> HYPERLINK \l _Toc1810647815 </w:instrText>
          </w:r>
          <w:r>
            <w:fldChar w:fldCharType="separate"/>
          </w:r>
          <w:r>
            <w:rPr>
              <w:rFonts w:ascii="黑体" w:hAnsi="黑体" w:eastAsia="黑体"/>
            </w:rPr>
            <w:t>2.1 后端与数据环境</w:t>
          </w:r>
          <w:r>
            <w:tab/>
          </w:r>
          <w:r>
            <w:fldChar w:fldCharType="begin"/>
          </w:r>
          <w:r>
            <w:instrText xml:space="preserve"> PAGEREF _Toc1810647815 \h </w:instrText>
          </w:r>
          <w:r>
            <w:fldChar w:fldCharType="separate"/>
          </w:r>
          <w:r>
            <w:t>5</w:t>
          </w:r>
          <w:r>
            <w:fldChar w:fldCharType="end"/>
          </w:r>
          <w:r>
            <w:fldChar w:fldCharType="end"/>
          </w:r>
        </w:p>
        <w:p w14:paraId="7AF4B8F1">
          <w:pPr>
            <w:pStyle w:val="29"/>
            <w:tabs>
              <w:tab w:val="right" w:leader="dot" w:pos="10095"/>
            </w:tabs>
          </w:pPr>
          <w:r>
            <w:fldChar w:fldCharType="begin"/>
          </w:r>
          <w:r>
            <w:instrText xml:space="preserve"> HYPERLINK \l _Toc1714548715 </w:instrText>
          </w:r>
          <w:r>
            <w:fldChar w:fldCharType="separate"/>
          </w:r>
          <w:r>
            <w:rPr>
              <w:rFonts w:ascii="黑体" w:hAnsi="黑体" w:eastAsia="黑体"/>
            </w:rPr>
            <w:t>2.2 前端与浏览器环境</w:t>
          </w:r>
          <w:r>
            <w:tab/>
          </w:r>
          <w:r>
            <w:fldChar w:fldCharType="begin"/>
          </w:r>
          <w:r>
            <w:instrText xml:space="preserve"> PAGEREF _Toc1714548715 \h </w:instrText>
          </w:r>
          <w:r>
            <w:fldChar w:fldCharType="separate"/>
          </w:r>
          <w:r>
            <w:t>5</w:t>
          </w:r>
          <w:r>
            <w:fldChar w:fldCharType="end"/>
          </w:r>
          <w:r>
            <w:fldChar w:fldCharType="end"/>
          </w:r>
        </w:p>
        <w:p w14:paraId="678D3CC0">
          <w:pPr>
            <w:pStyle w:val="26"/>
            <w:tabs>
              <w:tab w:val="right" w:leader="dot" w:pos="10095"/>
            </w:tabs>
          </w:pPr>
          <w:r>
            <w:fldChar w:fldCharType="begin"/>
          </w:r>
          <w:r>
            <w:instrText xml:space="preserve"> HYPERLINK \l _Toc1484677559 </w:instrText>
          </w:r>
          <w:r>
            <w:fldChar w:fldCharType="separate"/>
          </w:r>
          <w:r>
            <w:rPr>
              <w:rFonts w:ascii="黑体" w:hAnsi="黑体" w:eastAsia="黑体"/>
            </w:rPr>
            <w:t>3 总体架构与数据流转</w:t>
          </w:r>
          <w:r>
            <w:tab/>
          </w:r>
          <w:r>
            <w:fldChar w:fldCharType="begin"/>
          </w:r>
          <w:r>
            <w:instrText xml:space="preserve"> PAGEREF _Toc1484677559 \h </w:instrText>
          </w:r>
          <w:r>
            <w:fldChar w:fldCharType="separate"/>
          </w:r>
          <w:r>
            <w:t>5</w:t>
          </w:r>
          <w:r>
            <w:fldChar w:fldCharType="end"/>
          </w:r>
          <w:r>
            <w:fldChar w:fldCharType="end"/>
          </w:r>
        </w:p>
        <w:p w14:paraId="46B33965">
          <w:pPr>
            <w:pStyle w:val="29"/>
            <w:tabs>
              <w:tab w:val="right" w:leader="dot" w:pos="10095"/>
            </w:tabs>
          </w:pPr>
          <w:r>
            <w:fldChar w:fldCharType="begin"/>
          </w:r>
          <w:r>
            <w:instrText xml:space="preserve"> HYPERLINK \l _Toc1363239620 </w:instrText>
          </w:r>
          <w:r>
            <w:fldChar w:fldCharType="separate"/>
          </w:r>
          <w:r>
            <w:rPr>
              <w:rFonts w:ascii="黑体" w:hAnsi="黑体" w:eastAsia="黑体"/>
            </w:rPr>
            <w:t>3.1 数仓加工链路</w:t>
          </w:r>
          <w:r>
            <w:tab/>
          </w:r>
          <w:r>
            <w:fldChar w:fldCharType="begin"/>
          </w:r>
          <w:r>
            <w:instrText xml:space="preserve"> PAGEREF _Toc1363239620 \h </w:instrText>
          </w:r>
          <w:r>
            <w:fldChar w:fldCharType="separate"/>
          </w:r>
          <w:r>
            <w:t>5</w:t>
          </w:r>
          <w:r>
            <w:fldChar w:fldCharType="end"/>
          </w:r>
          <w:r>
            <w:fldChar w:fldCharType="end"/>
          </w:r>
        </w:p>
        <w:p w14:paraId="5C645536">
          <w:pPr>
            <w:pStyle w:val="29"/>
            <w:tabs>
              <w:tab w:val="right" w:leader="dot" w:pos="10095"/>
            </w:tabs>
          </w:pPr>
          <w:r>
            <w:fldChar w:fldCharType="begin"/>
          </w:r>
          <w:r>
            <w:instrText xml:space="preserve"> HYPERLINK \l _Toc465263497 </w:instrText>
          </w:r>
          <w:r>
            <w:fldChar w:fldCharType="separate"/>
          </w:r>
          <w:r>
            <w:rPr>
              <w:rFonts w:ascii="黑体" w:hAnsi="黑体" w:eastAsia="黑体"/>
            </w:rPr>
            <w:t>3.2 后端服务链路</w:t>
          </w:r>
          <w:r>
            <w:tab/>
          </w:r>
          <w:r>
            <w:fldChar w:fldCharType="begin"/>
          </w:r>
          <w:r>
            <w:instrText xml:space="preserve"> PAGEREF _Toc465263497 \h </w:instrText>
          </w:r>
          <w:r>
            <w:fldChar w:fldCharType="separate"/>
          </w:r>
          <w:r>
            <w:t>6</w:t>
          </w:r>
          <w:r>
            <w:fldChar w:fldCharType="end"/>
          </w:r>
          <w:r>
            <w:fldChar w:fldCharType="end"/>
          </w:r>
        </w:p>
        <w:p w14:paraId="692E017E">
          <w:pPr>
            <w:pStyle w:val="29"/>
            <w:tabs>
              <w:tab w:val="right" w:leader="dot" w:pos="10095"/>
            </w:tabs>
          </w:pPr>
          <w:r>
            <w:fldChar w:fldCharType="begin"/>
          </w:r>
          <w:r>
            <w:instrText xml:space="preserve"> HYPERLINK \l _Toc695635352 </w:instrText>
          </w:r>
          <w:r>
            <w:fldChar w:fldCharType="separate"/>
          </w:r>
          <w:r>
            <w:rPr>
              <w:rFonts w:ascii="黑体" w:hAnsi="黑体" w:eastAsia="黑体"/>
            </w:rPr>
            <w:t>3.3 前端展示链路</w:t>
          </w:r>
          <w:r>
            <w:tab/>
          </w:r>
          <w:r>
            <w:fldChar w:fldCharType="begin"/>
          </w:r>
          <w:r>
            <w:instrText xml:space="preserve"> PAGEREF _Toc695635352 \h </w:instrText>
          </w:r>
          <w:r>
            <w:fldChar w:fldCharType="separate"/>
          </w:r>
          <w:r>
            <w:t>6</w:t>
          </w:r>
          <w:r>
            <w:fldChar w:fldCharType="end"/>
          </w:r>
          <w:r>
            <w:fldChar w:fldCharType="end"/>
          </w:r>
        </w:p>
        <w:p w14:paraId="724A2563">
          <w:pPr>
            <w:pStyle w:val="26"/>
            <w:tabs>
              <w:tab w:val="right" w:leader="dot" w:pos="10095"/>
            </w:tabs>
          </w:pPr>
          <w:r>
            <w:fldChar w:fldCharType="begin"/>
          </w:r>
          <w:r>
            <w:instrText xml:space="preserve"> HYPERLINK \l _Toc642386796 </w:instrText>
          </w:r>
          <w:r>
            <w:fldChar w:fldCharType="separate"/>
          </w:r>
          <w:r>
            <w:rPr>
              <w:rFonts w:ascii="黑体" w:hAnsi="黑体" w:eastAsia="黑体"/>
            </w:rPr>
            <w:t>4 登录、首页与筛选操作</w:t>
          </w:r>
          <w:r>
            <w:tab/>
          </w:r>
          <w:r>
            <w:fldChar w:fldCharType="begin"/>
          </w:r>
          <w:r>
            <w:instrText xml:space="preserve"> PAGEREF _Toc642386796 \h </w:instrText>
          </w:r>
          <w:r>
            <w:fldChar w:fldCharType="separate"/>
          </w:r>
          <w:r>
            <w:t>6</w:t>
          </w:r>
          <w:r>
            <w:fldChar w:fldCharType="end"/>
          </w:r>
          <w:r>
            <w:fldChar w:fldCharType="end"/>
          </w:r>
        </w:p>
        <w:p w14:paraId="7C14B764">
          <w:pPr>
            <w:pStyle w:val="29"/>
            <w:tabs>
              <w:tab w:val="right" w:leader="dot" w:pos="10095"/>
            </w:tabs>
          </w:pPr>
          <w:r>
            <w:fldChar w:fldCharType="begin"/>
          </w:r>
          <w:r>
            <w:instrText xml:space="preserve"> HYPERLINK \l _Toc1194586903 </w:instrText>
          </w:r>
          <w:r>
            <w:fldChar w:fldCharType="separate"/>
          </w:r>
          <w:r>
            <w:rPr>
              <w:rFonts w:ascii="黑体" w:hAnsi="黑体" w:eastAsia="黑体"/>
            </w:rPr>
            <w:t>4.1 首页查看</w:t>
          </w:r>
          <w:r>
            <w:tab/>
          </w:r>
          <w:r>
            <w:fldChar w:fldCharType="begin"/>
          </w:r>
          <w:r>
            <w:instrText xml:space="preserve"> PAGEREF _Toc1194586903 \h </w:instrText>
          </w:r>
          <w:r>
            <w:fldChar w:fldCharType="separate"/>
          </w:r>
          <w:r>
            <w:t>6</w:t>
          </w:r>
          <w:r>
            <w:fldChar w:fldCharType="end"/>
          </w:r>
          <w:r>
            <w:fldChar w:fldCharType="end"/>
          </w:r>
        </w:p>
        <w:p w14:paraId="061E87A9">
          <w:pPr>
            <w:pStyle w:val="29"/>
            <w:tabs>
              <w:tab w:val="right" w:leader="dot" w:pos="10095"/>
            </w:tabs>
          </w:pPr>
          <w:r>
            <w:fldChar w:fldCharType="begin"/>
          </w:r>
          <w:r>
            <w:instrText xml:space="preserve"> HYPERLINK \l _Toc597462918 </w:instrText>
          </w:r>
          <w:r>
            <w:fldChar w:fldCharType="separate"/>
          </w:r>
          <w:r>
            <w:rPr>
              <w:rFonts w:ascii="黑体" w:hAnsi="黑体" w:eastAsia="黑体"/>
            </w:rPr>
            <w:t>4.2 筛选条件操作</w:t>
          </w:r>
          <w:r>
            <w:tab/>
          </w:r>
          <w:r>
            <w:fldChar w:fldCharType="begin"/>
          </w:r>
          <w:r>
            <w:instrText xml:space="preserve"> PAGEREF _Toc597462918 \h </w:instrText>
          </w:r>
          <w:r>
            <w:fldChar w:fldCharType="separate"/>
          </w:r>
          <w:r>
            <w:t>7</w:t>
          </w:r>
          <w:r>
            <w:fldChar w:fldCharType="end"/>
          </w:r>
          <w:r>
            <w:fldChar w:fldCharType="end"/>
          </w:r>
        </w:p>
        <w:p w14:paraId="71B30231">
          <w:pPr>
            <w:pStyle w:val="26"/>
            <w:tabs>
              <w:tab w:val="right" w:leader="dot" w:pos="10095"/>
            </w:tabs>
          </w:pPr>
          <w:r>
            <w:fldChar w:fldCharType="begin"/>
          </w:r>
          <w:r>
            <w:instrText xml:space="preserve"> HYPERLINK \l _Toc2073213101 </w:instrText>
          </w:r>
          <w:r>
            <w:fldChar w:fldCharType="separate"/>
          </w:r>
          <w:r>
            <w:rPr>
              <w:rFonts w:ascii="黑体" w:hAnsi="黑体" w:eastAsia="黑体"/>
            </w:rPr>
            <w:t>5 核心指标与事业部总揽</w:t>
          </w:r>
          <w:r>
            <w:tab/>
          </w:r>
          <w:r>
            <w:fldChar w:fldCharType="begin"/>
          </w:r>
          <w:r>
            <w:instrText xml:space="preserve"> PAGEREF _Toc2073213101 \h </w:instrText>
          </w:r>
          <w:r>
            <w:fldChar w:fldCharType="separate"/>
          </w:r>
          <w:r>
            <w:t>8</w:t>
          </w:r>
          <w:r>
            <w:fldChar w:fldCharType="end"/>
          </w:r>
          <w:r>
            <w:fldChar w:fldCharType="end"/>
          </w:r>
        </w:p>
        <w:p w14:paraId="3A05D739">
          <w:pPr>
            <w:pStyle w:val="29"/>
            <w:tabs>
              <w:tab w:val="right" w:leader="dot" w:pos="10095"/>
            </w:tabs>
          </w:pPr>
          <w:r>
            <w:fldChar w:fldCharType="begin"/>
          </w:r>
          <w:r>
            <w:instrText xml:space="preserve"> HYPERLINK \l _Toc1570415932 </w:instrText>
          </w:r>
          <w:r>
            <w:fldChar w:fldCharType="separate"/>
          </w:r>
          <w:r>
            <w:rPr>
              <w:rFonts w:ascii="黑体" w:hAnsi="黑体" w:eastAsia="黑体"/>
            </w:rPr>
            <w:t>5.1 核心指标说明</w:t>
          </w:r>
          <w:r>
            <w:tab/>
          </w:r>
          <w:r>
            <w:fldChar w:fldCharType="begin"/>
          </w:r>
          <w:r>
            <w:instrText xml:space="preserve"> PAGEREF _Toc1570415932 \h </w:instrText>
          </w:r>
          <w:r>
            <w:fldChar w:fldCharType="separate"/>
          </w:r>
          <w:r>
            <w:t>8</w:t>
          </w:r>
          <w:r>
            <w:fldChar w:fldCharType="end"/>
          </w:r>
          <w:r>
            <w:fldChar w:fldCharType="end"/>
          </w:r>
        </w:p>
        <w:p w14:paraId="0501E575">
          <w:pPr>
            <w:pStyle w:val="29"/>
            <w:tabs>
              <w:tab w:val="right" w:leader="dot" w:pos="10095"/>
            </w:tabs>
          </w:pPr>
          <w:r>
            <w:fldChar w:fldCharType="begin"/>
          </w:r>
          <w:r>
            <w:instrText xml:space="preserve"> HYPERLINK \l _Toc1406547494 </w:instrText>
          </w:r>
          <w:r>
            <w:fldChar w:fldCharType="separate"/>
          </w:r>
          <w:r>
            <w:rPr>
              <w:rFonts w:ascii="黑体" w:hAnsi="黑体" w:eastAsia="黑体"/>
            </w:rPr>
            <w:t>5.2 事业部总揽操作步骤</w:t>
          </w:r>
          <w:r>
            <w:tab/>
          </w:r>
          <w:r>
            <w:fldChar w:fldCharType="begin"/>
          </w:r>
          <w:r>
            <w:instrText xml:space="preserve"> PAGEREF _Toc1406547494 \h </w:instrText>
          </w:r>
          <w:r>
            <w:fldChar w:fldCharType="separate"/>
          </w:r>
          <w:r>
            <w:t>8</w:t>
          </w:r>
          <w:r>
            <w:fldChar w:fldCharType="end"/>
          </w:r>
          <w:r>
            <w:fldChar w:fldCharType="end"/>
          </w:r>
        </w:p>
        <w:p w14:paraId="52A42933">
          <w:pPr>
            <w:pStyle w:val="29"/>
            <w:tabs>
              <w:tab w:val="right" w:leader="dot" w:pos="10095"/>
            </w:tabs>
          </w:pPr>
          <w:r>
            <w:fldChar w:fldCharType="begin"/>
          </w:r>
          <w:r>
            <w:instrText xml:space="preserve"> HYPERLINK \l _Toc343745482 </w:instrText>
          </w:r>
          <w:r>
            <w:fldChar w:fldCharType="separate"/>
          </w:r>
          <w:r>
            <w:rPr>
              <w:rFonts w:ascii="黑体" w:hAnsi="黑体" w:eastAsia="黑体"/>
            </w:rPr>
            <w:t>5.3 数据口径注意事项</w:t>
          </w:r>
          <w:r>
            <w:tab/>
          </w:r>
          <w:r>
            <w:fldChar w:fldCharType="begin"/>
          </w:r>
          <w:r>
            <w:instrText xml:space="preserve"> PAGEREF _Toc343745482 \h </w:instrText>
          </w:r>
          <w:r>
            <w:fldChar w:fldCharType="separate"/>
          </w:r>
          <w:r>
            <w:t>8</w:t>
          </w:r>
          <w:r>
            <w:fldChar w:fldCharType="end"/>
          </w:r>
          <w:r>
            <w:fldChar w:fldCharType="end"/>
          </w:r>
        </w:p>
        <w:p w14:paraId="0979FD79">
          <w:pPr>
            <w:pStyle w:val="26"/>
            <w:tabs>
              <w:tab w:val="right" w:leader="dot" w:pos="10095"/>
            </w:tabs>
          </w:pPr>
          <w:r>
            <w:fldChar w:fldCharType="begin"/>
          </w:r>
          <w:r>
            <w:instrText xml:space="preserve"> HYPERLINK \l _Toc599305544 </w:instrText>
          </w:r>
          <w:r>
            <w:fldChar w:fldCharType="separate"/>
          </w:r>
          <w:r>
            <w:rPr>
              <w:rFonts w:ascii="黑体" w:hAnsi="黑体" w:eastAsia="黑体"/>
            </w:rPr>
            <w:t>6 趋势分析操作说明</w:t>
          </w:r>
          <w:r>
            <w:tab/>
          </w:r>
          <w:r>
            <w:fldChar w:fldCharType="begin"/>
          </w:r>
          <w:r>
            <w:instrText xml:space="preserve"> PAGEREF _Toc599305544 \h </w:instrText>
          </w:r>
          <w:r>
            <w:fldChar w:fldCharType="separate"/>
          </w:r>
          <w:r>
            <w:t>9</w:t>
          </w:r>
          <w:r>
            <w:fldChar w:fldCharType="end"/>
          </w:r>
          <w:r>
            <w:fldChar w:fldCharType="end"/>
          </w:r>
        </w:p>
        <w:p w14:paraId="5A82933A">
          <w:pPr>
            <w:pStyle w:val="29"/>
            <w:tabs>
              <w:tab w:val="right" w:leader="dot" w:pos="10095"/>
            </w:tabs>
          </w:pPr>
          <w:r>
            <w:fldChar w:fldCharType="begin"/>
          </w:r>
          <w:r>
            <w:instrText xml:space="preserve"> HYPERLINK \l _Toc829973578 </w:instrText>
          </w:r>
          <w:r>
            <w:fldChar w:fldCharType="separate"/>
          </w:r>
          <w:r>
            <w:rPr>
              <w:rFonts w:ascii="黑体" w:hAnsi="黑体" w:eastAsia="黑体"/>
            </w:rPr>
            <w:t>6.1 月度趋势</w:t>
          </w:r>
          <w:r>
            <w:tab/>
          </w:r>
          <w:r>
            <w:fldChar w:fldCharType="begin"/>
          </w:r>
          <w:r>
            <w:instrText xml:space="preserve"> PAGEREF _Toc829973578 \h </w:instrText>
          </w:r>
          <w:r>
            <w:fldChar w:fldCharType="separate"/>
          </w:r>
          <w:r>
            <w:t>9</w:t>
          </w:r>
          <w:r>
            <w:fldChar w:fldCharType="end"/>
          </w:r>
          <w:r>
            <w:fldChar w:fldCharType="end"/>
          </w:r>
        </w:p>
        <w:p w14:paraId="62248ABE">
          <w:pPr>
            <w:pStyle w:val="29"/>
            <w:tabs>
              <w:tab w:val="right" w:leader="dot" w:pos="10095"/>
            </w:tabs>
          </w:pPr>
          <w:r>
            <w:fldChar w:fldCharType="begin"/>
          </w:r>
          <w:r>
            <w:instrText xml:space="preserve"> HYPERLINK \l _Toc1459638181 </w:instrText>
          </w:r>
          <w:r>
            <w:fldChar w:fldCharType="separate"/>
          </w:r>
          <w:r>
            <w:rPr>
              <w:rFonts w:ascii="黑体" w:hAnsi="黑体" w:eastAsia="黑体"/>
            </w:rPr>
            <w:t>6.2 日度趋势</w:t>
          </w:r>
          <w:r>
            <w:tab/>
          </w:r>
          <w:r>
            <w:fldChar w:fldCharType="begin"/>
          </w:r>
          <w:r>
            <w:instrText xml:space="preserve"> PAGEREF _Toc1459638181 \h </w:instrText>
          </w:r>
          <w:r>
            <w:fldChar w:fldCharType="separate"/>
          </w:r>
          <w:r>
            <w:t>9</w:t>
          </w:r>
          <w:r>
            <w:fldChar w:fldCharType="end"/>
          </w:r>
          <w:r>
            <w:fldChar w:fldCharType="end"/>
          </w:r>
        </w:p>
        <w:p w14:paraId="1C22AC2A">
          <w:pPr>
            <w:pStyle w:val="26"/>
            <w:tabs>
              <w:tab w:val="right" w:leader="dot" w:pos="10095"/>
            </w:tabs>
          </w:pPr>
          <w:r>
            <w:fldChar w:fldCharType="begin"/>
          </w:r>
          <w:r>
            <w:instrText xml:space="preserve"> HYPERLINK \l _Toc1433208386 </w:instrText>
          </w:r>
          <w:r>
            <w:fldChar w:fldCharType="separate"/>
          </w:r>
          <w:r>
            <w:rPr>
              <w:rFonts w:ascii="黑体" w:hAnsi="黑体" w:eastAsia="黑体"/>
            </w:rPr>
            <w:t>7 年度对比与事业部对比</w:t>
          </w:r>
          <w:r>
            <w:tab/>
          </w:r>
          <w:r>
            <w:fldChar w:fldCharType="begin"/>
          </w:r>
          <w:r>
            <w:instrText xml:space="preserve"> PAGEREF _Toc1433208386 \h </w:instrText>
          </w:r>
          <w:r>
            <w:fldChar w:fldCharType="separate"/>
          </w:r>
          <w:r>
            <w:t>10</w:t>
          </w:r>
          <w:r>
            <w:fldChar w:fldCharType="end"/>
          </w:r>
          <w:r>
            <w:fldChar w:fldCharType="end"/>
          </w:r>
        </w:p>
        <w:p w14:paraId="129B961F">
          <w:pPr>
            <w:pStyle w:val="29"/>
            <w:tabs>
              <w:tab w:val="right" w:leader="dot" w:pos="10095"/>
            </w:tabs>
          </w:pPr>
          <w:r>
            <w:fldChar w:fldCharType="begin"/>
          </w:r>
          <w:r>
            <w:instrText xml:space="preserve"> HYPERLINK \l _Toc1756758750 </w:instrText>
          </w:r>
          <w:r>
            <w:fldChar w:fldCharType="separate"/>
          </w:r>
          <w:r>
            <w:rPr>
              <w:rFonts w:ascii="黑体" w:hAnsi="黑体" w:eastAsia="黑体"/>
            </w:rPr>
            <w:t>7.1 年度对比</w:t>
          </w:r>
          <w:r>
            <w:tab/>
          </w:r>
          <w:r>
            <w:fldChar w:fldCharType="begin"/>
          </w:r>
          <w:r>
            <w:instrText xml:space="preserve"> PAGEREF _Toc1756758750 \h </w:instrText>
          </w:r>
          <w:r>
            <w:fldChar w:fldCharType="separate"/>
          </w:r>
          <w:r>
            <w:t>10</w:t>
          </w:r>
          <w:r>
            <w:fldChar w:fldCharType="end"/>
          </w:r>
          <w:r>
            <w:fldChar w:fldCharType="end"/>
          </w:r>
        </w:p>
        <w:p w14:paraId="5059ACE0">
          <w:pPr>
            <w:pStyle w:val="29"/>
            <w:tabs>
              <w:tab w:val="right" w:leader="dot" w:pos="10095"/>
            </w:tabs>
          </w:pPr>
          <w:r>
            <w:fldChar w:fldCharType="begin"/>
          </w:r>
          <w:r>
            <w:instrText xml:space="preserve"> HYPERLINK \l _Toc91648647 </w:instrText>
          </w:r>
          <w:r>
            <w:fldChar w:fldCharType="separate"/>
          </w:r>
          <w:r>
            <w:rPr>
              <w:rFonts w:ascii="黑体" w:hAnsi="黑体" w:eastAsia="黑体"/>
            </w:rPr>
            <w:t>7.2 事业部对比</w:t>
          </w:r>
          <w:r>
            <w:tab/>
          </w:r>
          <w:r>
            <w:fldChar w:fldCharType="begin"/>
          </w:r>
          <w:r>
            <w:instrText xml:space="preserve"> PAGEREF _Toc91648647 \h </w:instrText>
          </w:r>
          <w:r>
            <w:fldChar w:fldCharType="separate"/>
          </w:r>
          <w:r>
            <w:t>11</w:t>
          </w:r>
          <w:r>
            <w:fldChar w:fldCharType="end"/>
          </w:r>
          <w:r>
            <w:fldChar w:fldCharType="end"/>
          </w:r>
        </w:p>
        <w:p w14:paraId="47E30D6D">
          <w:pPr>
            <w:pStyle w:val="26"/>
            <w:tabs>
              <w:tab w:val="right" w:leader="dot" w:pos="10095"/>
            </w:tabs>
          </w:pPr>
          <w:r>
            <w:fldChar w:fldCharType="begin"/>
          </w:r>
          <w:r>
            <w:instrText xml:space="preserve"> HYPERLINK \l _Toc593035230 </w:instrText>
          </w:r>
          <w:r>
            <w:fldChar w:fldCharType="separate"/>
          </w:r>
          <w:r>
            <w:rPr>
              <w:rFonts w:ascii="黑体" w:hAnsi="黑体" w:eastAsia="黑体"/>
            </w:rPr>
            <w:t>8 目标完成管理</w:t>
          </w:r>
          <w:r>
            <w:tab/>
          </w:r>
          <w:r>
            <w:fldChar w:fldCharType="begin"/>
          </w:r>
          <w:r>
            <w:instrText xml:space="preserve"> PAGEREF _Toc593035230 \h </w:instrText>
          </w:r>
          <w:r>
            <w:fldChar w:fldCharType="separate"/>
          </w:r>
          <w:r>
            <w:t>12</w:t>
          </w:r>
          <w:r>
            <w:fldChar w:fldCharType="end"/>
          </w:r>
          <w:r>
            <w:fldChar w:fldCharType="end"/>
          </w:r>
        </w:p>
        <w:p w14:paraId="5FD35A6E">
          <w:pPr>
            <w:pStyle w:val="29"/>
            <w:tabs>
              <w:tab w:val="right" w:leader="dot" w:pos="10095"/>
            </w:tabs>
          </w:pPr>
          <w:r>
            <w:fldChar w:fldCharType="begin"/>
          </w:r>
          <w:r>
            <w:instrText xml:space="preserve"> HYPERLINK \l _Toc671504883 </w:instrText>
          </w:r>
          <w:r>
            <w:fldChar w:fldCharType="separate"/>
          </w:r>
          <w:r>
            <w:rPr>
              <w:rFonts w:ascii="黑体" w:hAnsi="黑体" w:eastAsia="黑体"/>
            </w:rPr>
            <w:t>8.1 目标列表查看</w:t>
          </w:r>
          <w:r>
            <w:tab/>
          </w:r>
          <w:r>
            <w:fldChar w:fldCharType="begin"/>
          </w:r>
          <w:r>
            <w:instrText xml:space="preserve"> PAGEREF _Toc671504883 \h </w:instrText>
          </w:r>
          <w:r>
            <w:fldChar w:fldCharType="separate"/>
          </w:r>
          <w:r>
            <w:t>12</w:t>
          </w:r>
          <w:r>
            <w:fldChar w:fldCharType="end"/>
          </w:r>
          <w:r>
            <w:fldChar w:fldCharType="end"/>
          </w:r>
        </w:p>
        <w:p w14:paraId="6F04EA78">
          <w:pPr>
            <w:pStyle w:val="29"/>
            <w:tabs>
              <w:tab w:val="right" w:leader="dot" w:pos="10095"/>
            </w:tabs>
          </w:pPr>
          <w:r>
            <w:fldChar w:fldCharType="begin"/>
          </w:r>
          <w:r>
            <w:instrText xml:space="preserve"> HYPERLINK \l _Toc956003596 </w:instrText>
          </w:r>
          <w:r>
            <w:fldChar w:fldCharType="separate"/>
          </w:r>
          <w:r>
            <w:rPr>
              <w:rFonts w:ascii="黑体" w:hAnsi="黑体" w:eastAsia="黑体"/>
            </w:rPr>
            <w:t>8.2 目标明细与预估</w:t>
          </w:r>
          <w:r>
            <w:tab/>
          </w:r>
          <w:r>
            <w:fldChar w:fldCharType="begin"/>
          </w:r>
          <w:r>
            <w:instrText xml:space="preserve"> PAGEREF _Toc956003596 \h </w:instrText>
          </w:r>
          <w:r>
            <w:fldChar w:fldCharType="separate"/>
          </w:r>
          <w:r>
            <w:t>13</w:t>
          </w:r>
          <w:r>
            <w:fldChar w:fldCharType="end"/>
          </w:r>
          <w:r>
            <w:fldChar w:fldCharType="end"/>
          </w:r>
        </w:p>
        <w:p w14:paraId="52463736">
          <w:pPr>
            <w:pStyle w:val="26"/>
            <w:tabs>
              <w:tab w:val="right" w:leader="dot" w:pos="10095"/>
            </w:tabs>
          </w:pPr>
          <w:r>
            <w:fldChar w:fldCharType="begin"/>
          </w:r>
          <w:r>
            <w:instrText xml:space="preserve"> HYPERLINK \l _Toc79791118 </w:instrText>
          </w:r>
          <w:r>
            <w:fldChar w:fldCharType="separate"/>
          </w:r>
          <w:r>
            <w:rPr>
              <w:rFonts w:ascii="黑体" w:hAnsi="黑体" w:eastAsia="黑体"/>
            </w:rPr>
            <w:t>9 AI 智能解读与报表导出</w:t>
          </w:r>
          <w:r>
            <w:tab/>
          </w:r>
          <w:r>
            <w:fldChar w:fldCharType="begin"/>
          </w:r>
          <w:r>
            <w:instrText xml:space="preserve"> PAGEREF _Toc79791118 \h </w:instrText>
          </w:r>
          <w:r>
            <w:fldChar w:fldCharType="separate"/>
          </w:r>
          <w:r>
            <w:t>13</w:t>
          </w:r>
          <w:r>
            <w:fldChar w:fldCharType="end"/>
          </w:r>
          <w:r>
            <w:fldChar w:fldCharType="end"/>
          </w:r>
        </w:p>
        <w:p w14:paraId="700805B5">
          <w:pPr>
            <w:pStyle w:val="29"/>
            <w:tabs>
              <w:tab w:val="right" w:leader="dot" w:pos="10095"/>
            </w:tabs>
          </w:pPr>
          <w:r>
            <w:fldChar w:fldCharType="begin"/>
          </w:r>
          <w:r>
            <w:instrText xml:space="preserve"> HYPERLINK \l _Toc1019524498 </w:instrText>
          </w:r>
          <w:r>
            <w:fldChar w:fldCharType="separate"/>
          </w:r>
          <w:r>
            <w:rPr>
              <w:rFonts w:ascii="黑体" w:hAnsi="黑体" w:eastAsia="黑体"/>
            </w:rPr>
            <w:t>9.1 AI 智能解读</w:t>
          </w:r>
          <w:r>
            <w:tab/>
          </w:r>
          <w:r>
            <w:fldChar w:fldCharType="begin"/>
          </w:r>
          <w:r>
            <w:instrText xml:space="preserve"> PAGEREF _Toc1019524498 \h </w:instrText>
          </w:r>
          <w:r>
            <w:fldChar w:fldCharType="separate"/>
          </w:r>
          <w:r>
            <w:t>13</w:t>
          </w:r>
          <w:r>
            <w:fldChar w:fldCharType="end"/>
          </w:r>
          <w:r>
            <w:fldChar w:fldCharType="end"/>
          </w:r>
        </w:p>
        <w:p w14:paraId="4BFD3120">
          <w:pPr>
            <w:pStyle w:val="29"/>
            <w:tabs>
              <w:tab w:val="right" w:leader="dot" w:pos="10095"/>
            </w:tabs>
          </w:pPr>
          <w:r>
            <w:fldChar w:fldCharType="begin"/>
          </w:r>
          <w:r>
            <w:instrText xml:space="preserve"> HYPERLINK \l _Toc376218473 </w:instrText>
          </w:r>
          <w:r>
            <w:fldChar w:fldCharType="separate"/>
          </w:r>
          <w:r>
            <w:rPr>
              <w:rFonts w:ascii="黑体" w:hAnsi="黑体" w:eastAsia="黑体"/>
            </w:rPr>
            <w:t>9.2 报表截图导出</w:t>
          </w:r>
          <w:r>
            <w:tab/>
          </w:r>
          <w:r>
            <w:fldChar w:fldCharType="begin"/>
          </w:r>
          <w:r>
            <w:instrText xml:space="preserve"> PAGEREF _Toc376218473 \h </w:instrText>
          </w:r>
          <w:r>
            <w:fldChar w:fldCharType="separate"/>
          </w:r>
          <w:r>
            <w:t>14</w:t>
          </w:r>
          <w:r>
            <w:fldChar w:fldCharType="end"/>
          </w:r>
          <w:r>
            <w:fldChar w:fldCharType="end"/>
          </w:r>
        </w:p>
        <w:p w14:paraId="72C010A9">
          <w:pPr>
            <w:pStyle w:val="26"/>
            <w:tabs>
              <w:tab w:val="right" w:leader="dot" w:pos="10095"/>
            </w:tabs>
          </w:pPr>
          <w:r>
            <w:fldChar w:fldCharType="begin"/>
          </w:r>
          <w:r>
            <w:instrText xml:space="preserve"> HYPERLINK \l _Toc912018943 </w:instrText>
          </w:r>
          <w:r>
            <w:fldChar w:fldCharType="separate"/>
          </w:r>
          <w:r>
            <w:rPr>
              <w:rFonts w:ascii="黑体" w:hAnsi="黑体" w:eastAsia="黑体"/>
            </w:rPr>
            <w:t>10 异常处理与常见问题</w:t>
          </w:r>
          <w:r>
            <w:tab/>
          </w:r>
          <w:r>
            <w:fldChar w:fldCharType="begin"/>
          </w:r>
          <w:r>
            <w:instrText xml:space="preserve"> PAGEREF _Toc912018943 \h </w:instrText>
          </w:r>
          <w:r>
            <w:fldChar w:fldCharType="separate"/>
          </w:r>
          <w:r>
            <w:t>16</w:t>
          </w:r>
          <w:r>
            <w:fldChar w:fldCharType="end"/>
          </w:r>
          <w:r>
            <w:fldChar w:fldCharType="end"/>
          </w:r>
        </w:p>
        <w:p w14:paraId="10B7D6FD">
          <w:pPr>
            <w:pStyle w:val="29"/>
            <w:tabs>
              <w:tab w:val="right" w:leader="dot" w:pos="10095"/>
            </w:tabs>
          </w:pPr>
          <w:r>
            <w:fldChar w:fldCharType="begin"/>
          </w:r>
          <w:r>
            <w:instrText xml:space="preserve"> HYPERLINK \l _Toc1711586362 </w:instrText>
          </w:r>
          <w:r>
            <w:fldChar w:fldCharType="separate"/>
          </w:r>
          <w:r>
            <w:rPr>
              <w:rFonts w:ascii="黑体" w:hAnsi="黑体" w:eastAsia="黑体"/>
            </w:rPr>
            <w:t>10.1 异常处理</w:t>
          </w:r>
          <w:r>
            <w:tab/>
          </w:r>
          <w:r>
            <w:fldChar w:fldCharType="begin"/>
          </w:r>
          <w:r>
            <w:instrText xml:space="preserve"> PAGEREF _Toc1711586362 \h </w:instrText>
          </w:r>
          <w:r>
            <w:fldChar w:fldCharType="separate"/>
          </w:r>
          <w:r>
            <w:t>16</w:t>
          </w:r>
          <w:r>
            <w:fldChar w:fldCharType="end"/>
          </w:r>
          <w:r>
            <w:fldChar w:fldCharType="end"/>
          </w:r>
        </w:p>
        <w:p w14:paraId="742DE800">
          <w:pPr>
            <w:pStyle w:val="29"/>
            <w:tabs>
              <w:tab w:val="right" w:leader="dot" w:pos="10095"/>
            </w:tabs>
          </w:pPr>
          <w:r>
            <w:fldChar w:fldCharType="begin"/>
          </w:r>
          <w:r>
            <w:instrText xml:space="preserve"> HYPERLINK \l _Toc1088534569 </w:instrText>
          </w:r>
          <w:r>
            <w:fldChar w:fldCharType="separate"/>
          </w:r>
          <w:r>
            <w:rPr>
              <w:rFonts w:ascii="黑体" w:hAnsi="黑体" w:eastAsia="黑体"/>
            </w:rPr>
            <w:t>10.2 常见问题</w:t>
          </w:r>
          <w:r>
            <w:tab/>
          </w:r>
          <w:r>
            <w:fldChar w:fldCharType="begin"/>
          </w:r>
          <w:r>
            <w:instrText xml:space="preserve"> PAGEREF _Toc1088534569 \h </w:instrText>
          </w:r>
          <w:r>
            <w:fldChar w:fldCharType="separate"/>
          </w:r>
          <w:r>
            <w:t>16</w:t>
          </w:r>
          <w:r>
            <w:fldChar w:fldCharType="end"/>
          </w:r>
          <w:r>
            <w:fldChar w:fldCharType="end"/>
          </w:r>
        </w:p>
        <w:p w14:paraId="4A134DC1">
          <w:pPr>
            <w:pStyle w:val="29"/>
            <w:tabs>
              <w:tab w:val="right" w:leader="dot" w:pos="10095"/>
            </w:tabs>
          </w:pPr>
          <w:r>
            <w:fldChar w:fldCharType="begin"/>
          </w:r>
          <w:r>
            <w:instrText xml:space="preserve"> HYPERLINK \l _Toc587312390 </w:instrText>
          </w:r>
          <w:r>
            <w:fldChar w:fldCharType="separate"/>
          </w:r>
          <w:r>
            <w:rPr>
              <w:rFonts w:ascii="黑体" w:hAnsi="黑体" w:eastAsia="黑体"/>
            </w:rPr>
            <w:t>10.3 操作前检查清单</w:t>
          </w:r>
          <w:r>
            <w:tab/>
          </w:r>
          <w:r>
            <w:fldChar w:fldCharType="begin"/>
          </w:r>
          <w:r>
            <w:instrText xml:space="preserve"> PAGEREF _Toc587312390 \h </w:instrText>
          </w:r>
          <w:r>
            <w:fldChar w:fldCharType="separate"/>
          </w:r>
          <w:r>
            <w:t>16</w:t>
          </w:r>
          <w:r>
            <w:fldChar w:fldCharType="end"/>
          </w:r>
          <w:r>
            <w:fldChar w:fldCharType="end"/>
          </w:r>
        </w:p>
        <w:p w14:paraId="70AFE450">
          <w:pPr>
            <w:pStyle w:val="29"/>
            <w:tabs>
              <w:tab w:val="right" w:leader="dot" w:pos="10095"/>
            </w:tabs>
          </w:pPr>
          <w:r>
            <w:fldChar w:fldCharType="begin"/>
          </w:r>
          <w:r>
            <w:instrText xml:space="preserve"> HYPERLINK \l _Toc1124497118 </w:instrText>
          </w:r>
          <w:r>
            <w:fldChar w:fldCharType="separate"/>
          </w:r>
          <w:r>
            <w:rPr>
              <w:rFonts w:ascii="黑体" w:hAnsi="黑体" w:eastAsia="黑体"/>
            </w:rPr>
            <w:t>10.4 日常使用流程建议</w:t>
          </w:r>
          <w:r>
            <w:tab/>
          </w:r>
          <w:r>
            <w:fldChar w:fldCharType="begin"/>
          </w:r>
          <w:r>
            <w:instrText xml:space="preserve"> PAGEREF _Toc1124497118 \h </w:instrText>
          </w:r>
          <w:r>
            <w:fldChar w:fldCharType="separate"/>
          </w:r>
          <w:r>
            <w:t>17</w:t>
          </w:r>
          <w:r>
            <w:fldChar w:fldCharType="end"/>
          </w:r>
          <w:r>
            <w:fldChar w:fldCharType="end"/>
          </w:r>
        </w:p>
        <w:p w14:paraId="23FE07C4">
          <w:pPr>
            <w:pStyle w:val="26"/>
            <w:tabs>
              <w:tab w:val="right" w:leader="dot" w:pos="10095"/>
            </w:tabs>
          </w:pPr>
          <w:r>
            <w:fldChar w:fldCharType="begin"/>
          </w:r>
          <w:r>
            <w:instrText xml:space="preserve"> HYPERLINK \l _Toc1566968626 </w:instrText>
          </w:r>
          <w:r>
            <w:fldChar w:fldCharType="separate"/>
          </w:r>
          <w:r>
            <w:rPr>
              <w:rFonts w:ascii="黑体" w:hAnsi="黑体" w:eastAsia="黑体"/>
            </w:rPr>
            <w:t>11 附录：接口与表清单</w:t>
          </w:r>
          <w:r>
            <w:tab/>
          </w:r>
          <w:r>
            <w:fldChar w:fldCharType="begin"/>
          </w:r>
          <w:r>
            <w:instrText xml:space="preserve"> PAGEREF _Toc1566968626 \h </w:instrText>
          </w:r>
          <w:r>
            <w:fldChar w:fldCharType="separate"/>
          </w:r>
          <w:r>
            <w:t>17</w:t>
          </w:r>
          <w:r>
            <w:fldChar w:fldCharType="end"/>
          </w:r>
          <w:r>
            <w:fldChar w:fldCharType="end"/>
          </w:r>
        </w:p>
        <w:p w14:paraId="5095C8D6">
          <w:pPr>
            <w:pStyle w:val="29"/>
            <w:tabs>
              <w:tab w:val="right" w:leader="dot" w:pos="10095"/>
            </w:tabs>
          </w:pPr>
          <w:r>
            <w:fldChar w:fldCharType="begin"/>
          </w:r>
          <w:r>
            <w:instrText xml:space="preserve"> HYPERLINK \l _Toc1449734021 </w:instrText>
          </w:r>
          <w:r>
            <w:fldChar w:fldCharType="separate"/>
          </w:r>
          <w:r>
            <w:rPr>
              <w:rFonts w:ascii="黑体" w:hAnsi="黑体" w:eastAsia="黑体"/>
            </w:rPr>
            <w:t>11.1 主要接口</w:t>
          </w:r>
          <w:r>
            <w:tab/>
          </w:r>
          <w:r>
            <w:fldChar w:fldCharType="begin"/>
          </w:r>
          <w:r>
            <w:instrText xml:space="preserve"> PAGEREF _Toc1449734021 \h </w:instrText>
          </w:r>
          <w:r>
            <w:fldChar w:fldCharType="separate"/>
          </w:r>
          <w:r>
            <w:t>17</w:t>
          </w:r>
          <w:r>
            <w:fldChar w:fldCharType="end"/>
          </w:r>
          <w:r>
            <w:fldChar w:fldCharType="end"/>
          </w:r>
        </w:p>
        <w:p w14:paraId="59E780FE">
          <w:pPr>
            <w:pStyle w:val="29"/>
            <w:tabs>
              <w:tab w:val="right" w:leader="dot" w:pos="10095"/>
            </w:tabs>
          </w:pPr>
          <w:r>
            <w:fldChar w:fldCharType="begin"/>
          </w:r>
          <w:r>
            <w:instrText xml:space="preserve"> HYPERLINK \l _Toc330232085 </w:instrText>
          </w:r>
          <w:r>
            <w:fldChar w:fldCharType="separate"/>
          </w:r>
          <w:r>
            <w:rPr>
              <w:rFonts w:ascii="黑体" w:hAnsi="黑体" w:eastAsia="黑体"/>
            </w:rPr>
            <w:t>11.2 主要数据表</w:t>
          </w:r>
          <w:r>
            <w:tab/>
          </w:r>
          <w:r>
            <w:fldChar w:fldCharType="begin"/>
          </w:r>
          <w:r>
            <w:instrText xml:space="preserve"> PAGEREF _Toc330232085 \h </w:instrText>
          </w:r>
          <w:r>
            <w:fldChar w:fldCharType="separate"/>
          </w:r>
          <w:r>
            <w:t>17</w:t>
          </w:r>
          <w:r>
            <w:fldChar w:fldCharType="end"/>
          </w:r>
          <w:r>
            <w:fldChar w:fldCharType="end"/>
          </w:r>
        </w:p>
        <w:p w14:paraId="71F6EDA6">
          <w:pPr>
            <w:pStyle w:val="29"/>
            <w:tabs>
              <w:tab w:val="right" w:leader="dot" w:pos="10095"/>
            </w:tabs>
          </w:pPr>
          <w:r>
            <w:fldChar w:fldCharType="begin"/>
          </w:r>
          <w:r>
            <w:instrText xml:space="preserve"> HYPERLINK \l _Toc1112908747 </w:instrText>
          </w:r>
          <w:r>
            <w:fldChar w:fldCharType="separate"/>
          </w:r>
          <w:r>
            <w:rPr>
              <w:rFonts w:ascii="黑体" w:hAnsi="黑体" w:eastAsia="黑体"/>
            </w:rPr>
            <w:t>11.3 使用注意事项</w:t>
          </w:r>
          <w:r>
            <w:tab/>
          </w:r>
          <w:r>
            <w:fldChar w:fldCharType="begin"/>
          </w:r>
          <w:r>
            <w:instrText xml:space="preserve"> PAGEREF _Toc1112908747 \h </w:instrText>
          </w:r>
          <w:r>
            <w:fldChar w:fldCharType="separate"/>
          </w:r>
          <w:r>
            <w:t>17</w:t>
          </w:r>
          <w:r>
            <w:fldChar w:fldCharType="end"/>
          </w:r>
          <w:r>
            <w:fldChar w:fldCharType="end"/>
          </w:r>
        </w:p>
        <w:p w14:paraId="2D2E5D54">
          <w:pPr>
            <w:pStyle w:val="29"/>
            <w:tabs>
              <w:tab w:val="right" w:leader="dot" w:pos="10095"/>
            </w:tabs>
          </w:pPr>
          <w:r>
            <w:fldChar w:fldCharType="begin"/>
          </w:r>
          <w:r>
            <w:instrText xml:space="preserve"> HYPERLINK \l _Toc74745459 </w:instrText>
          </w:r>
          <w:r>
            <w:fldChar w:fldCharType="separate"/>
          </w:r>
          <w:r>
            <w:rPr>
              <w:rFonts w:ascii="黑体" w:hAnsi="黑体" w:eastAsia="黑体"/>
            </w:rPr>
            <w:t>11.4 数据维护与版本升级建议</w:t>
          </w:r>
          <w:r>
            <w:tab/>
          </w:r>
          <w:r>
            <w:fldChar w:fldCharType="begin"/>
          </w:r>
          <w:r>
            <w:instrText xml:space="preserve"> PAGEREF _Toc74745459 \h </w:instrText>
          </w:r>
          <w:r>
            <w:fldChar w:fldCharType="separate"/>
          </w:r>
          <w:r>
            <w:t>18</w:t>
          </w:r>
          <w:r>
            <w:fldChar w:fldCharType="end"/>
          </w:r>
          <w:r>
            <w:fldChar w:fldCharType="end"/>
          </w:r>
        </w:p>
        <w:p w14:paraId="496CC566">
          <w:r>
            <w:fldChar w:fldCharType="end"/>
          </w:r>
        </w:p>
      </w:sdtContent>
    </w:sdt>
    <w:p w14:paraId="6CCE85A4"/>
    <w:p w14:paraId="7D7A63EA">
      <w:pPr>
        <w:spacing w:after="20" w:line="252" w:lineRule="auto"/>
        <w:ind w:left="360"/>
      </w:pPr>
      <w:r>
        <w:rPr>
          <w:rFonts w:ascii="宋体" w:hAnsi="宋体" w:eastAsia="宋体"/>
          <w:sz w:val="21"/>
        </w:rPr>
        <w:br w:type="page"/>
      </w:r>
    </w:p>
    <w:p w14:paraId="70425E93">
      <w:pPr>
        <w:pStyle w:val="3"/>
        <w:spacing w:before="200" w:after="160" w:line="288" w:lineRule="auto"/>
      </w:pPr>
      <w:bookmarkStart w:id="0" w:name="_Toc549296194"/>
      <w:r>
        <w:rPr>
          <w:rFonts w:ascii="黑体" w:hAnsi="黑体" w:eastAsia="黑体"/>
          <w:b/>
          <w:color w:val="2F65A0"/>
          <w:sz w:val="32"/>
        </w:rPr>
        <w:t>1 系统概述</w:t>
      </w:r>
      <w:bookmarkEnd w:id="0"/>
    </w:p>
    <w:p w14:paraId="53EFA823">
      <w:pPr>
        <w:spacing w:before="0" w:after="120" w:line="324" w:lineRule="auto"/>
        <w:ind w:firstLine="403"/>
      </w:pPr>
      <w:r>
        <w:rPr>
          <w:rFonts w:ascii="宋体" w:hAnsi="宋体" w:eastAsia="宋体"/>
          <w:b w:val="0"/>
          <w:sz w:val="24"/>
        </w:rPr>
        <w:t>麻生销售数据大屏智能化系统面向企业销售经营管理和跨境电商业务分析场景，围绕销售订单、支付订单、退款、净销售额、人民币金额、目标完成率、事业部对比和趋势分析等指标，构建从数据仓库到接口服务再到可视化大屏的一体化应用。系统以 Doris 数仓 ADS 层销售主题表作为最终查询来源，由 Java 服务提供统一报表接口，由 Vue 前端完成指标卡片、趋势图、事业部排行、AI 解读和报表导出。</w:t>
      </w:r>
    </w:p>
    <w:p w14:paraId="2B9796F0">
      <w:pPr>
        <w:spacing w:before="0" w:after="120" w:line="324" w:lineRule="auto"/>
        <w:ind w:firstLine="403"/>
      </w:pPr>
      <w:r>
        <w:rPr>
          <w:rFonts w:ascii="宋体" w:hAnsi="宋体" w:eastAsia="宋体"/>
          <w:b w:val="0"/>
          <w:sz w:val="24"/>
        </w:rPr>
        <w:t>本系统主要解决销售经营数据分散、跨事业部对比困难、月度及日度趋势查看不直观、目标完成情况依赖人工汇总等问题。管理人员可在同一页面查看公司整体销售表现、各事业部经营情况、趋势波动、年度对比和目标完成进度，运营人员可结合筛选条件定位具体业务口径，并将当前大屏结果导出用于日报、周会或经营复盘。</w:t>
      </w:r>
    </w:p>
    <w:p w14:paraId="2801C656">
      <w:pPr>
        <w:pStyle w:val="4"/>
        <w:spacing w:before="120" w:after="120" w:line="288" w:lineRule="auto"/>
      </w:pPr>
      <w:bookmarkStart w:id="1" w:name="_Toc2136417752"/>
      <w:r>
        <w:rPr>
          <w:rFonts w:ascii="黑体" w:hAnsi="黑体" w:eastAsia="黑体"/>
          <w:b/>
          <w:color w:val="2F65A0"/>
          <w:sz w:val="28"/>
        </w:rPr>
        <w:t>1.1 软件主要功能</w:t>
      </w:r>
      <w:bookmarkEnd w:id="1"/>
    </w:p>
    <w:p w14:paraId="5FEDFE77">
      <w:pPr>
        <w:spacing w:before="0" w:after="80" w:line="324" w:lineRule="auto"/>
        <w:ind w:left="504" w:hanging="259"/>
      </w:pPr>
      <w:r>
        <w:rPr>
          <w:rFonts w:ascii="宋体" w:hAnsi="宋体" w:eastAsia="宋体"/>
          <w:sz w:val="24"/>
        </w:rPr>
        <w:t>• 核心经营指标总揽：展示订单数量、支付订单数量、订单金额、支付金额、退款金额、净销售额和人民币金额等关键指标。</w:t>
      </w:r>
    </w:p>
    <w:p w14:paraId="79DC5BBB">
      <w:pPr>
        <w:spacing w:before="0" w:after="80" w:line="324" w:lineRule="auto"/>
        <w:ind w:left="504" w:hanging="259"/>
      </w:pPr>
      <w:r>
        <w:rPr>
          <w:rFonts w:ascii="宋体" w:hAnsi="宋体" w:eastAsia="宋体"/>
          <w:sz w:val="24"/>
        </w:rPr>
        <w:t>• 事业部销售总揽：按事业部汇总销售额、订单量、退款金额、净销售额、同比/环比变化和目标进度。</w:t>
      </w:r>
    </w:p>
    <w:p w14:paraId="11949FFC">
      <w:pPr>
        <w:spacing w:before="0" w:after="80" w:line="324" w:lineRule="auto"/>
        <w:ind w:left="504" w:hanging="259"/>
      </w:pPr>
      <w:r>
        <w:rPr>
          <w:rFonts w:ascii="宋体" w:hAnsi="宋体" w:eastAsia="宋体"/>
          <w:sz w:val="24"/>
        </w:rPr>
        <w:t>• 趋势分析：提供月度趋势、日度趋势、年度对比、事业部对比等图表，支持按年份、月份、事业部和币种查看。</w:t>
      </w:r>
    </w:p>
    <w:p w14:paraId="7BAC97F1">
      <w:pPr>
        <w:spacing w:before="0" w:after="80" w:line="324" w:lineRule="auto"/>
        <w:ind w:left="504" w:hanging="259"/>
      </w:pPr>
      <w:r>
        <w:rPr>
          <w:rFonts w:ascii="宋体" w:hAnsi="宋体" w:eastAsia="宋体"/>
          <w:sz w:val="24"/>
        </w:rPr>
        <w:t>• 目标完成管理：展示年度目标、月度目标、实际完成金额、累计完成率、月度预估和年度预估等数据。</w:t>
      </w:r>
    </w:p>
    <w:p w14:paraId="319EB11A">
      <w:pPr>
        <w:spacing w:before="0" w:after="80" w:line="324" w:lineRule="auto"/>
        <w:ind w:left="504" w:hanging="259"/>
      </w:pPr>
      <w:r>
        <w:rPr>
          <w:rFonts w:ascii="宋体" w:hAnsi="宋体" w:eastAsia="宋体"/>
          <w:sz w:val="24"/>
        </w:rPr>
        <w:t>• 智能解读与导出：通过 AI 分析经营指标变化，并支持将当前大屏或报表区域导出为图片。</w:t>
      </w:r>
    </w:p>
    <w:p w14:paraId="07E733C8">
      <w:pPr>
        <w:pStyle w:val="4"/>
        <w:spacing w:before="120" w:after="120" w:line="288" w:lineRule="auto"/>
      </w:pPr>
      <w:bookmarkStart w:id="2" w:name="_Toc846580024"/>
      <w:r>
        <w:rPr>
          <w:rFonts w:ascii="黑体" w:hAnsi="黑体" w:eastAsia="黑体"/>
          <w:b/>
          <w:color w:val="2F65A0"/>
          <w:sz w:val="28"/>
        </w:rPr>
        <w:t>1.2 适用场景</w:t>
      </w:r>
      <w:bookmarkEnd w:id="2"/>
    </w:p>
    <w:p w14:paraId="72C973FF">
      <w:pPr>
        <w:spacing w:before="0" w:after="120" w:line="324" w:lineRule="auto"/>
        <w:ind w:firstLine="403"/>
      </w:pPr>
      <w:r>
        <w:rPr>
          <w:rFonts w:ascii="宋体" w:hAnsi="宋体" w:eastAsia="宋体"/>
          <w:b w:val="0"/>
          <w:sz w:val="24"/>
        </w:rPr>
        <w:t>系统适用于跨境电商销售经营分析、事业部月度复盘、管理驾驶舱展示、目标完成跟踪、销售日报生成和会议室大屏展示等场景。对于需要同时观察订单量、金额、退款、净销售额、人民币口径和目标完成率的管理人员，系统能够提供统一视图和稳定的数据口径。</w:t>
      </w:r>
    </w:p>
    <w:p w14:paraId="5AB13485">
      <w:pPr>
        <w:spacing w:before="0" w:after="80" w:line="324" w:lineRule="auto"/>
        <w:ind w:left="504" w:hanging="259"/>
      </w:pPr>
      <w:r>
        <w:rPr>
          <w:rFonts w:ascii="宋体" w:hAnsi="宋体" w:eastAsia="宋体"/>
          <w:sz w:val="24"/>
        </w:rPr>
        <w:t>• 经营管理人员：查看公司整体销售表现、事业部排名、年度对比和目标差额。</w:t>
      </w:r>
    </w:p>
    <w:p w14:paraId="578F753A">
      <w:pPr>
        <w:spacing w:before="0" w:after="80" w:line="324" w:lineRule="auto"/>
        <w:ind w:left="504" w:hanging="259"/>
      </w:pPr>
      <w:r>
        <w:rPr>
          <w:rFonts w:ascii="宋体" w:hAnsi="宋体" w:eastAsia="宋体"/>
          <w:sz w:val="24"/>
        </w:rPr>
        <w:t>• 销售运营人员：根据日期、事业部、项目或币种条件核对业务波动并生成报表截图。</w:t>
      </w:r>
    </w:p>
    <w:p w14:paraId="16C23939">
      <w:pPr>
        <w:spacing w:before="0" w:after="80" w:line="324" w:lineRule="auto"/>
        <w:ind w:left="504" w:hanging="259"/>
      </w:pPr>
      <w:r>
        <w:rPr>
          <w:rFonts w:ascii="宋体" w:hAnsi="宋体" w:eastAsia="宋体"/>
          <w:sz w:val="24"/>
        </w:rPr>
        <w:t>• 数据维护人员：关注 Doris ADS 表调度结果、后端接口响应和数据同步状态。</w:t>
      </w:r>
    </w:p>
    <w:p w14:paraId="0C1864C1">
      <w:pPr>
        <w:pStyle w:val="3"/>
        <w:spacing w:before="200" w:after="160" w:line="288" w:lineRule="auto"/>
      </w:pPr>
      <w:bookmarkStart w:id="3" w:name="_Toc1391301993"/>
      <w:r>
        <w:rPr>
          <w:rFonts w:ascii="黑体" w:hAnsi="黑体" w:eastAsia="黑体"/>
          <w:b/>
          <w:color w:val="2F65A0"/>
          <w:sz w:val="32"/>
        </w:rPr>
        <w:t>2 运行环境</w:t>
      </w:r>
      <w:bookmarkEnd w:id="3"/>
    </w:p>
    <w:p w14:paraId="761571C0">
      <w:pPr>
        <w:spacing w:before="0" w:after="120" w:line="324" w:lineRule="auto"/>
        <w:ind w:firstLine="403"/>
      </w:pPr>
      <w:r>
        <w:rPr>
          <w:rFonts w:ascii="宋体" w:hAnsi="宋体" w:eastAsia="宋体"/>
          <w:b w:val="0"/>
          <w:sz w:val="24"/>
        </w:rPr>
        <w:t>本系统采用前后端分离架构运行，后端服务部署在 Linux 服务器或同等环境中，前端页面运行于现代浏览器。数据层依赖 Doris 数据仓库承接上游 MySQL 业务源数据，调度链路由 DolphinScheduler 组织执行。</w:t>
      </w:r>
    </w:p>
    <w:p w14:paraId="761827C3">
      <w:pPr>
        <w:pStyle w:val="4"/>
        <w:spacing w:before="120" w:after="120" w:line="288" w:lineRule="auto"/>
      </w:pPr>
      <w:bookmarkStart w:id="4" w:name="_Toc1810647815"/>
      <w:r>
        <w:rPr>
          <w:rFonts w:ascii="黑体" w:hAnsi="黑体" w:eastAsia="黑体"/>
          <w:b/>
          <w:color w:val="2F65A0"/>
          <w:sz w:val="28"/>
        </w:rPr>
        <w:t>2.1 后端与数据环境</w:t>
      </w:r>
      <w:bookmarkEnd w:id="4"/>
    </w:p>
    <w:p w14:paraId="135732B4">
      <w:pPr>
        <w:spacing w:before="0" w:after="80" w:line="324" w:lineRule="auto"/>
        <w:ind w:left="504" w:hanging="259"/>
      </w:pPr>
      <w:r>
        <w:rPr>
          <w:rFonts w:ascii="宋体" w:hAnsi="宋体" w:eastAsia="宋体"/>
          <w:sz w:val="24"/>
        </w:rPr>
        <w:t>• 后端运行环境：Java 8、Spring Boot 应用服务，建议部署在稳定网络环境下。</w:t>
      </w:r>
    </w:p>
    <w:p w14:paraId="2CF6CE46">
      <w:pPr>
        <w:spacing w:before="0" w:after="80" w:line="324" w:lineRule="auto"/>
        <w:ind w:left="504" w:hanging="259"/>
      </w:pPr>
      <w:r>
        <w:rPr>
          <w:rFonts w:ascii="宋体" w:hAnsi="宋体" w:eastAsia="宋体"/>
          <w:sz w:val="24"/>
        </w:rPr>
        <w:t>• 数据仓库环境：Doris 承接 ODS、DWD、DWS、ADS 分层表，销售大屏最终读取 ADS 层销售主题表。</w:t>
      </w:r>
    </w:p>
    <w:p w14:paraId="07ABDFC2">
      <w:pPr>
        <w:spacing w:before="0" w:after="80" w:line="324" w:lineRule="auto"/>
        <w:ind w:left="504" w:hanging="259"/>
      </w:pPr>
      <w:r>
        <w:rPr>
          <w:rFonts w:ascii="宋体" w:hAnsi="宋体" w:eastAsia="宋体"/>
          <w:sz w:val="24"/>
        </w:rPr>
        <w:t>• 业务源与调度：MySQL 提供业务源数据，DolphinScheduler 负责定时触发销售主题 SQL。</w:t>
      </w:r>
    </w:p>
    <w:p w14:paraId="5B1E46B8">
      <w:pPr>
        <w:spacing w:before="0" w:after="80" w:line="324" w:lineRule="auto"/>
        <w:ind w:left="504" w:hanging="259"/>
      </w:pPr>
      <w:r>
        <w:rPr>
          <w:rFonts w:ascii="宋体" w:hAnsi="宋体" w:eastAsia="宋体"/>
          <w:sz w:val="24"/>
        </w:rPr>
        <w:t>• 运行依赖：Nginx 或网关代理、Doris JDBC 连接、日志与异常监控配置。</w:t>
      </w:r>
    </w:p>
    <w:p w14:paraId="2A8600CC">
      <w:pPr>
        <w:pStyle w:val="4"/>
        <w:spacing w:before="120" w:after="120" w:line="288" w:lineRule="auto"/>
      </w:pPr>
      <w:bookmarkStart w:id="5" w:name="_Toc1714548715"/>
      <w:r>
        <w:rPr>
          <w:rFonts w:ascii="黑体" w:hAnsi="黑体" w:eastAsia="黑体"/>
          <w:b/>
          <w:color w:val="2F65A0"/>
          <w:sz w:val="28"/>
        </w:rPr>
        <w:t>2.2 前端与浏览器环境</w:t>
      </w:r>
      <w:bookmarkEnd w:id="5"/>
    </w:p>
    <w:p w14:paraId="40DCAB5A">
      <w:pPr>
        <w:spacing w:before="0" w:after="80" w:line="324" w:lineRule="auto"/>
        <w:ind w:left="504" w:hanging="259"/>
      </w:pPr>
      <w:r>
        <w:rPr>
          <w:rFonts w:ascii="宋体" w:hAnsi="宋体" w:eastAsia="宋体"/>
          <w:sz w:val="24"/>
        </w:rPr>
        <w:t>• 前端技术：Vue、Vite、ECharts、Element Plus、html2canvas。</w:t>
      </w:r>
    </w:p>
    <w:p w14:paraId="0873AAFE">
      <w:pPr>
        <w:spacing w:before="0" w:after="80" w:line="324" w:lineRule="auto"/>
        <w:ind w:left="504" w:hanging="259"/>
      </w:pPr>
      <w:r>
        <w:rPr>
          <w:rFonts w:ascii="宋体" w:hAnsi="宋体" w:eastAsia="宋体"/>
          <w:sz w:val="24"/>
        </w:rPr>
        <w:t>• 浏览器要求：Chrome、Edge 或其他现代浏览器，建议分辨率 1366×768 及以上。</w:t>
      </w:r>
    </w:p>
    <w:p w14:paraId="02A8BE42">
      <w:pPr>
        <w:spacing w:before="0" w:after="80" w:line="324" w:lineRule="auto"/>
        <w:ind w:left="504" w:hanging="259"/>
      </w:pPr>
      <w:r>
        <w:rPr>
          <w:rFonts w:ascii="宋体" w:hAnsi="宋体" w:eastAsia="宋体"/>
          <w:sz w:val="24"/>
        </w:rPr>
        <w:t>• 网络要求：浏览器需能够访问后端 API 地址，并保证 SSE 智能解读接口不被代理中断。</w:t>
      </w:r>
    </w:p>
    <w:p w14:paraId="30FF69E5">
      <w:pPr>
        <w:spacing w:before="0" w:after="80" w:line="324" w:lineRule="auto"/>
        <w:ind w:left="504" w:hanging="259"/>
      </w:pPr>
      <w:r>
        <w:rPr>
          <w:rFonts w:ascii="宋体" w:hAnsi="宋体" w:eastAsia="宋体"/>
          <w:sz w:val="24"/>
        </w:rPr>
        <w:t>• 展示环境：可在普通工作台、会议室大屏或投屏环境中使用，支持全屏查看。</w:t>
      </w:r>
    </w:p>
    <w:p w14:paraId="5D16D84D">
      <w:pPr>
        <w:pStyle w:val="3"/>
        <w:spacing w:before="200" w:after="160" w:line="288" w:lineRule="auto"/>
      </w:pPr>
      <w:bookmarkStart w:id="6" w:name="_Toc1484677559"/>
      <w:r>
        <w:rPr>
          <w:rFonts w:ascii="黑体" w:hAnsi="黑体" w:eastAsia="黑体"/>
          <w:b/>
          <w:color w:val="2F65A0"/>
          <w:sz w:val="32"/>
        </w:rPr>
        <w:t>3 总体架构与数据流转</w:t>
      </w:r>
      <w:bookmarkEnd w:id="6"/>
    </w:p>
    <w:p w14:paraId="09EEC5A8">
      <w:pPr>
        <w:spacing w:before="0" w:after="120" w:line="324" w:lineRule="auto"/>
        <w:ind w:firstLine="403"/>
      </w:pPr>
      <w:r>
        <w:rPr>
          <w:rFonts w:ascii="宋体" w:hAnsi="宋体" w:eastAsia="宋体"/>
          <w:b w:val="0"/>
          <w:sz w:val="24"/>
        </w:rPr>
        <w:t>系统采用“数据仓库层、后端服务层、前端展示层”三层协同架构。数据仓库负责将订单、支付、退款、项目、事业部、店铺、目标和汇率等数据统一加工；后端服务根据前端条件组织查询并返回统一 DTO/VO；前端页面将接口数据渲染为指标卡片、趋势图、排名图、表格和智能解读内容。</w:t>
      </w:r>
    </w:p>
    <w:p w14:paraId="43E6E941">
      <w:pPr>
        <w:pStyle w:val="4"/>
        <w:spacing w:before="120" w:after="120" w:line="288" w:lineRule="auto"/>
      </w:pPr>
      <w:bookmarkStart w:id="7" w:name="_Toc1363239620"/>
      <w:r>
        <w:rPr>
          <w:rFonts w:ascii="黑体" w:hAnsi="黑体" w:eastAsia="黑体"/>
          <w:b/>
          <w:color w:val="2F65A0"/>
          <w:sz w:val="28"/>
        </w:rPr>
        <w:t>3.1 数仓加工链路</w:t>
      </w:r>
      <w:bookmarkEnd w:id="7"/>
    </w:p>
    <w:p w14:paraId="22464429">
      <w:pPr>
        <w:spacing w:before="0" w:after="120" w:line="324" w:lineRule="auto"/>
        <w:ind w:firstLine="403"/>
      </w:pPr>
      <w:r>
        <w:rPr>
          <w:rFonts w:ascii="宋体" w:hAnsi="宋体" w:eastAsia="宋体"/>
          <w:b w:val="0"/>
          <w:sz w:val="24"/>
        </w:rPr>
        <w:t>销售大屏最终查询表包括 ads_sales_overview_market_1d、ads_sales_department_market_1d、ads_sales_target_completion_market_1d、ads_sales_trend_market_1d、ads_sales_trend_market_1m 等。表字段采用小写加下划线命名，日期分区字段使用 sdt，月分区字段使用 smt，命名依据为 Doris 数仓规范。</w:t>
      </w:r>
    </w:p>
    <w:p w14:paraId="634B0135">
      <w:pPr>
        <w:spacing w:before="0" w:after="120" w:line="324" w:lineRule="auto"/>
        <w:ind w:firstLine="403"/>
      </w:pPr>
      <w:r>
        <w:rPr>
          <w:rFonts w:ascii="宋体" w:hAnsi="宋体" w:eastAsia="宋体"/>
          <w:b w:val="0"/>
          <w:sz w:val="24"/>
        </w:rPr>
        <w:t>DolphinScheduler 按计划触发销售主题 SQL，生成日粒度、月粒度、事业部粒度、项目粒度和目标达成粒度的 ADS 结果。若某日指标异常，应先确认上游 MySQL 数据、Doris 任务运行状态、ADS 表分区和插入时间，再检查后端接口查询条件。</w:t>
      </w:r>
    </w:p>
    <w:p w14:paraId="08B9DDD6">
      <w:pPr>
        <w:pStyle w:val="4"/>
        <w:spacing w:before="120" w:after="120" w:line="288" w:lineRule="auto"/>
      </w:pPr>
      <w:bookmarkStart w:id="8" w:name="_Toc465263497"/>
      <w:r>
        <w:rPr>
          <w:rFonts w:ascii="黑体" w:hAnsi="黑体" w:eastAsia="黑体"/>
          <w:b/>
          <w:color w:val="2F65A0"/>
          <w:sz w:val="28"/>
        </w:rPr>
        <w:t>3.2 后端服务链路</w:t>
      </w:r>
      <w:bookmarkEnd w:id="8"/>
    </w:p>
    <w:p w14:paraId="0967C560">
      <w:pPr>
        <w:spacing w:before="0" w:after="120" w:line="324" w:lineRule="auto"/>
        <w:ind w:firstLine="403"/>
      </w:pPr>
      <w:r>
        <w:rPr>
          <w:rFonts w:ascii="宋体" w:hAnsi="宋体" w:eastAsia="宋体"/>
          <w:b w:val="0"/>
          <w:sz w:val="24"/>
        </w:rPr>
        <w:t>后端服务位于 com.ms.bi.bigscreen 包下，主要包含报表查询、目标查询、维度查询、汇率查询、数据导入、数据同步、AI 分析和海豚调度触发等能力。ReportController 提供 /report/core-metrics、/report/department-overview、/report/month-trend、/report/daily-trend、/report/year-comparison、/report/department-comparison、/report/dashboard 等接口；TargetController 提供 /target/list 与 /target/monthly-summary 接口。</w:t>
      </w:r>
    </w:p>
    <w:p w14:paraId="241899F3">
      <w:pPr>
        <w:spacing w:before="0" w:after="120" w:line="324" w:lineRule="auto"/>
        <w:ind w:firstLine="403"/>
      </w:pPr>
      <w:r>
        <w:rPr>
          <w:rFonts w:ascii="宋体" w:hAnsi="宋体" w:eastAsia="宋体"/>
          <w:b w:val="0"/>
          <w:sz w:val="24"/>
        </w:rPr>
        <w:t>服务层结合 DorisQueryService 执行查询，并通过 ExchangeRateService 支持人民币与美元等币种转换。接口入参与出参遵循 Java DTO/VO 常用驼峰命名，底层数仓字段仍按 Doris 规范使用小写下划线命名。</w:t>
      </w:r>
    </w:p>
    <w:p w14:paraId="3A460C46">
      <w:pPr>
        <w:pStyle w:val="4"/>
        <w:spacing w:before="120" w:after="120" w:line="288" w:lineRule="auto"/>
      </w:pPr>
      <w:bookmarkStart w:id="9" w:name="_Toc695635352"/>
      <w:r>
        <w:rPr>
          <w:rFonts w:ascii="黑体" w:hAnsi="黑体" w:eastAsia="黑体"/>
          <w:b/>
          <w:color w:val="2F65A0"/>
          <w:sz w:val="28"/>
        </w:rPr>
        <w:t>3.3 前端展示链路</w:t>
      </w:r>
      <w:bookmarkEnd w:id="9"/>
    </w:p>
    <w:p w14:paraId="53894340">
      <w:pPr>
        <w:spacing w:before="0" w:after="120" w:line="324" w:lineRule="auto"/>
        <w:ind w:firstLine="403"/>
      </w:pPr>
      <w:r>
        <w:rPr>
          <w:rFonts w:ascii="宋体" w:hAnsi="宋体" w:eastAsia="宋体"/>
          <w:b w:val="0"/>
          <w:sz w:val="24"/>
        </w:rPr>
        <w:t>前端项目 msbi 通过 src/api/report.js 与 src/api/target.js 调用后端接口，在 src/views/dashboard.vue、src/views/home.vue、src/views/target-page.vue 中组织页面。业务组件包括 KPICards、DepartmentOverview、DailyTrend、MonthlyTrend、YearlyComparison、DepartmentComparison、ReportAIAnalysis、MsTable 和 ProgressBar 等。</w:t>
      </w:r>
    </w:p>
    <w:p w14:paraId="5A06C726">
      <w:pPr>
        <w:spacing w:before="0" w:after="120" w:line="324" w:lineRule="auto"/>
        <w:ind w:firstLine="403"/>
      </w:pPr>
      <w:r>
        <w:rPr>
          <w:rFonts w:ascii="宋体" w:hAnsi="宋体" w:eastAsia="宋体"/>
          <w:b w:val="0"/>
          <w:sz w:val="24"/>
        </w:rPr>
        <w:t>组件通过统一 request 工具发送查询请求，获取数据后以 ECharts 图表、指标卡片和表格呈现。页面同时提供 AI 弹窗、导出图片、全屏展示、主题样式适配和异常提示能力。</w:t>
      </w:r>
    </w:p>
    <w:p w14:paraId="1840EE54">
      <w:pPr>
        <w:pStyle w:val="3"/>
        <w:spacing w:before="200" w:after="160" w:line="288" w:lineRule="auto"/>
      </w:pPr>
      <w:bookmarkStart w:id="10" w:name="_Toc642386796"/>
      <w:r>
        <w:rPr>
          <w:rFonts w:ascii="黑体" w:hAnsi="黑体" w:eastAsia="黑体"/>
          <w:b/>
          <w:color w:val="2F65A0"/>
          <w:sz w:val="32"/>
        </w:rPr>
        <w:t>4 登录、首页与筛选操作</w:t>
      </w:r>
      <w:bookmarkEnd w:id="10"/>
    </w:p>
    <w:p w14:paraId="50AA2918">
      <w:pPr>
        <w:spacing w:before="0" w:after="120" w:line="324" w:lineRule="auto"/>
        <w:ind w:firstLine="403"/>
      </w:pPr>
      <w:r>
        <w:rPr>
          <w:rFonts w:ascii="宋体" w:hAnsi="宋体" w:eastAsia="宋体"/>
          <w:b w:val="0"/>
          <w:sz w:val="24"/>
        </w:rPr>
        <w:t>用户打开系统地址后进入销售数据大屏首页。首页以深色大屏风格展示核心指标、事业部总揽、趋势分析、年度对比和事业部对比等区域。顶部筛选区用于选择日期、月份、年份、币种和事业部条件，系统会根据筛选条件自动刷新相关图表。</w:t>
      </w:r>
    </w:p>
    <w:p w14:paraId="3F650EEC">
      <w:pPr>
        <w:pStyle w:val="4"/>
        <w:spacing w:before="120" w:after="120" w:line="288" w:lineRule="auto"/>
      </w:pPr>
      <w:bookmarkStart w:id="11" w:name="_Toc1194586903"/>
      <w:r>
        <w:rPr>
          <w:rFonts w:ascii="黑体" w:hAnsi="黑体" w:eastAsia="黑体"/>
          <w:b/>
          <w:color w:val="2F65A0"/>
          <w:sz w:val="28"/>
        </w:rPr>
        <w:t>4.1 首页查看</w:t>
      </w:r>
      <w:bookmarkEnd w:id="11"/>
    </w:p>
    <w:p w14:paraId="738A56B6">
      <w:pPr>
        <w:spacing w:before="0" w:after="80" w:line="324" w:lineRule="auto"/>
        <w:ind w:left="403" w:hanging="403"/>
      </w:pPr>
      <w:r>
        <w:rPr>
          <w:rFonts w:ascii="宋体" w:hAnsi="宋体" w:eastAsia="宋体"/>
          <w:sz w:val="24"/>
        </w:rPr>
        <w:t>1. 在浏览器中输入系统访问地址，确认页面正常加载。</w:t>
      </w:r>
    </w:p>
    <w:p w14:paraId="452FDD73">
      <w:pPr>
        <w:spacing w:before="0" w:after="80" w:line="324" w:lineRule="auto"/>
        <w:ind w:left="403" w:hanging="403"/>
      </w:pPr>
      <w:r>
        <w:rPr>
          <w:rFonts w:ascii="宋体" w:hAnsi="宋体" w:eastAsia="宋体"/>
          <w:sz w:val="24"/>
        </w:rPr>
        <w:t>2. 查看页面顶部或左侧核心指标卡片，确认订单、金额、退款和净销售额等数据已返回。</w:t>
      </w:r>
    </w:p>
    <w:p w14:paraId="4173AD9C">
      <w:pPr>
        <w:spacing w:before="0" w:after="80" w:line="324" w:lineRule="auto"/>
        <w:ind w:left="403" w:hanging="403"/>
      </w:pPr>
      <w:r>
        <w:rPr>
          <w:rFonts w:ascii="宋体" w:hAnsi="宋体" w:eastAsia="宋体"/>
          <w:sz w:val="24"/>
        </w:rPr>
        <w:t>3. 观察月度趋势、日度趋势、年度对比和事业部对比图表是否完整渲染。</w:t>
      </w:r>
    </w:p>
    <w:p w14:paraId="7454B91D">
      <w:pPr>
        <w:spacing w:before="0" w:after="80" w:line="324" w:lineRule="auto"/>
        <w:ind w:left="403" w:hanging="403"/>
      </w:pPr>
      <w:r>
        <w:rPr>
          <w:rFonts w:ascii="宋体" w:hAnsi="宋体" w:eastAsia="宋体"/>
          <w:sz w:val="24"/>
        </w:rPr>
        <w:t>4. 如页面数据为空，先检查筛选条件和当前日期是否存在对应销售数据。</w:t>
      </w:r>
    </w:p>
    <w:p w14:paraId="0000B809">
      <w:pPr>
        <w:spacing w:before="0" w:after="80" w:line="324" w:lineRule="auto"/>
      </w:pPr>
      <w:r>
        <w:rPr>
          <w:rFonts w:ascii="宋体" w:hAnsi="宋体" w:eastAsia="宋体"/>
          <w:b w:val="0"/>
          <w:sz w:val="24"/>
        </w:rPr>
        <w:t>截图位置说明：下图展示销售数据大屏首页，包括核心指标卡片、事业部总揽、趋势图和对比图等主要区域。</w:t>
      </w:r>
    </w:p>
    <w:p w14:paraId="757A5991">
      <w:pPr>
        <w:spacing w:before="80" w:after="40" w:line="240" w:lineRule="auto"/>
        <w:jc w:val="center"/>
      </w:pPr>
      <w:r>
        <w:drawing>
          <wp:inline distT="0" distB="0" distL="114300" distR="114300">
            <wp:extent cx="6395085" cy="3077210"/>
            <wp:effectExtent l="0" t="0" r="5715" b="215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6395085" cy="3077210"/>
                    </a:xfrm>
                    <a:prstGeom prst="rect">
                      <a:avLst/>
                    </a:prstGeom>
                    <a:noFill/>
                    <a:ln>
                      <a:noFill/>
                    </a:ln>
                  </pic:spPr>
                </pic:pic>
              </a:graphicData>
            </a:graphic>
          </wp:inline>
        </w:drawing>
      </w:r>
    </w:p>
    <w:p w14:paraId="1A12FB2E">
      <w:pPr>
        <w:spacing w:before="0" w:after="160" w:line="240" w:lineRule="auto"/>
        <w:jc w:val="center"/>
      </w:pPr>
      <w:r>
        <w:rPr>
          <w:rFonts w:ascii="宋体" w:hAnsi="宋体" w:eastAsia="宋体"/>
          <w:color w:val="505050"/>
          <w:sz w:val="20"/>
        </w:rPr>
        <w:t>图 4-1 销售数据大屏首页与核心指标卡片</w:t>
      </w:r>
    </w:p>
    <w:p w14:paraId="7C03C74C">
      <w:pPr>
        <w:pStyle w:val="4"/>
        <w:spacing w:before="120" w:after="120" w:line="288" w:lineRule="auto"/>
      </w:pPr>
      <w:bookmarkStart w:id="12" w:name="_Toc597462918"/>
      <w:r>
        <w:rPr>
          <w:rFonts w:ascii="黑体" w:hAnsi="黑体" w:eastAsia="黑体"/>
          <w:b/>
          <w:color w:val="2F65A0"/>
          <w:sz w:val="28"/>
        </w:rPr>
        <w:t>4.2 筛选条件操作</w:t>
      </w:r>
      <w:bookmarkEnd w:id="12"/>
    </w:p>
    <w:p w14:paraId="617749CD">
      <w:pPr>
        <w:spacing w:before="0" w:after="80" w:line="324" w:lineRule="auto"/>
        <w:ind w:left="403" w:hanging="403"/>
      </w:pPr>
      <w:r>
        <w:rPr>
          <w:rFonts w:ascii="宋体" w:hAnsi="宋体" w:eastAsia="宋体"/>
          <w:sz w:val="24"/>
        </w:rPr>
        <w:t>1. 点击顶部日期、月份、年份或事业部筛选控件。</w:t>
      </w:r>
    </w:p>
    <w:p w14:paraId="7378D1A4">
      <w:pPr>
        <w:spacing w:before="0" w:after="80" w:line="324" w:lineRule="auto"/>
        <w:ind w:left="403" w:hanging="403"/>
      </w:pPr>
      <w:r>
        <w:rPr>
          <w:rFonts w:ascii="宋体" w:hAnsi="宋体" w:eastAsia="宋体"/>
          <w:sz w:val="24"/>
        </w:rPr>
        <w:t>2. 选择需要查看的统计周期、币种或事业部范围。</w:t>
      </w:r>
    </w:p>
    <w:p w14:paraId="55DF8C89">
      <w:pPr>
        <w:spacing w:before="0" w:after="80" w:line="324" w:lineRule="auto"/>
        <w:ind w:left="403" w:hanging="403"/>
      </w:pPr>
      <w:r>
        <w:rPr>
          <w:rFonts w:ascii="宋体" w:hAnsi="宋体" w:eastAsia="宋体"/>
          <w:sz w:val="24"/>
        </w:rPr>
        <w:t>3. 确认筛选条件后，系统重新请求后端接口并刷新页面各组件。</w:t>
      </w:r>
    </w:p>
    <w:p w14:paraId="268281C0">
      <w:pPr>
        <w:spacing w:before="0" w:after="80" w:line="324" w:lineRule="auto"/>
        <w:ind w:left="403" w:hanging="403"/>
      </w:pPr>
      <w:r>
        <w:rPr>
          <w:rFonts w:ascii="宋体" w:hAnsi="宋体" w:eastAsia="宋体"/>
          <w:sz w:val="24"/>
        </w:rPr>
        <w:t>4. 若某个组件刷新失败，可保留当前页面并查看接口异常提示或刷新重试。</w:t>
      </w:r>
    </w:p>
    <w:p w14:paraId="39670769">
      <w:pPr>
        <w:spacing w:before="0" w:after="80" w:line="324" w:lineRule="auto"/>
      </w:pPr>
      <w:r>
        <w:rPr>
          <w:rFonts w:ascii="宋体" w:hAnsi="宋体" w:eastAsia="宋体"/>
          <w:b w:val="0"/>
          <w:sz w:val="24"/>
        </w:rPr>
        <w:t>截图位置说明：下图展示筛选条件展开后的页面状态，用户可根据经营分析需要选择日期、事业部或币种口径。</w:t>
      </w:r>
    </w:p>
    <w:p w14:paraId="403BB9D1">
      <w:pPr>
        <w:spacing w:before="80" w:after="40" w:line="240" w:lineRule="auto"/>
        <w:jc w:val="center"/>
      </w:pPr>
      <w:r>
        <w:drawing>
          <wp:inline distT="0" distB="0" distL="114300" distR="114300">
            <wp:extent cx="6397625" cy="3062605"/>
            <wp:effectExtent l="0" t="0" r="3175" b="1079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
                    <a:stretch>
                      <a:fillRect/>
                    </a:stretch>
                  </pic:blipFill>
                  <pic:spPr>
                    <a:xfrm>
                      <a:off x="0" y="0"/>
                      <a:ext cx="6397625" cy="3062605"/>
                    </a:xfrm>
                    <a:prstGeom prst="rect">
                      <a:avLst/>
                    </a:prstGeom>
                    <a:noFill/>
                    <a:ln>
                      <a:noFill/>
                    </a:ln>
                  </pic:spPr>
                </pic:pic>
              </a:graphicData>
            </a:graphic>
          </wp:inline>
        </w:drawing>
      </w:r>
    </w:p>
    <w:p w14:paraId="38EF37CA">
      <w:pPr>
        <w:spacing w:before="0" w:after="160" w:line="240" w:lineRule="auto"/>
        <w:jc w:val="center"/>
      </w:pPr>
      <w:r>
        <w:rPr>
          <w:rFonts w:ascii="宋体" w:hAnsi="宋体" w:eastAsia="宋体"/>
          <w:color w:val="505050"/>
          <w:sz w:val="20"/>
        </w:rPr>
        <w:t>图 4-2 大屏筛选条件与下拉选择状态</w:t>
      </w:r>
    </w:p>
    <w:p w14:paraId="752D276D">
      <w:pPr>
        <w:pStyle w:val="3"/>
        <w:spacing w:before="200" w:after="160" w:line="288" w:lineRule="auto"/>
      </w:pPr>
      <w:bookmarkStart w:id="13" w:name="_Toc2073213101"/>
      <w:r>
        <w:rPr>
          <w:rFonts w:ascii="黑体" w:hAnsi="黑体" w:eastAsia="黑体"/>
          <w:b/>
          <w:color w:val="2F65A0"/>
          <w:sz w:val="32"/>
        </w:rPr>
        <w:t>5 核心指标与事业部总揽</w:t>
      </w:r>
      <w:bookmarkEnd w:id="13"/>
    </w:p>
    <w:p w14:paraId="56EFFA46">
      <w:pPr>
        <w:spacing w:before="0" w:after="120" w:line="324" w:lineRule="auto"/>
        <w:ind w:firstLine="403"/>
      </w:pPr>
      <w:r>
        <w:rPr>
          <w:rFonts w:ascii="宋体" w:hAnsi="宋体" w:eastAsia="宋体"/>
          <w:b w:val="0"/>
          <w:sz w:val="24"/>
        </w:rPr>
        <w:t>核心指标用于展示销售经营概览，事业部总揽用于横向观察各事业部的销售表现。系统将 Doris ADS 表中的订单量、支付订单量、销售金额、退款金额、净销售额、人民币金额和目标完成信息汇总后返回前端，前端按统一格式展示。</w:t>
      </w:r>
    </w:p>
    <w:p w14:paraId="1B22D162">
      <w:pPr>
        <w:pStyle w:val="4"/>
        <w:spacing w:before="120" w:after="120" w:line="288" w:lineRule="auto"/>
      </w:pPr>
      <w:bookmarkStart w:id="14" w:name="_Toc1570415932"/>
      <w:r>
        <w:rPr>
          <w:rFonts w:ascii="黑体" w:hAnsi="黑体" w:eastAsia="黑体"/>
          <w:b/>
          <w:color w:val="2F65A0"/>
          <w:sz w:val="28"/>
        </w:rPr>
        <w:t>5.1 核心指标说明</w:t>
      </w:r>
      <w:bookmarkEnd w:id="14"/>
    </w:p>
    <w:p w14:paraId="3FA6F1B2">
      <w:pPr>
        <w:spacing w:before="0" w:after="80" w:line="324" w:lineRule="auto"/>
        <w:ind w:left="504" w:hanging="259"/>
      </w:pPr>
      <w:r>
        <w:rPr>
          <w:rFonts w:ascii="宋体" w:hAnsi="宋体" w:eastAsia="宋体"/>
          <w:sz w:val="24"/>
        </w:rPr>
        <w:t>• 订单数量：统计选定时间范围内的全部订单数量，包含未支付订单。</w:t>
      </w:r>
    </w:p>
    <w:p w14:paraId="4092D51E">
      <w:pPr>
        <w:spacing w:before="0" w:after="80" w:line="324" w:lineRule="auto"/>
        <w:ind w:left="504" w:hanging="259"/>
      </w:pPr>
      <w:r>
        <w:rPr>
          <w:rFonts w:ascii="宋体" w:hAnsi="宋体" w:eastAsia="宋体"/>
          <w:sz w:val="24"/>
        </w:rPr>
        <w:t>• 支付订单数量：统计已支付订单数量，用于观察真实支付转化情况。</w:t>
      </w:r>
    </w:p>
    <w:p w14:paraId="24DE7D21">
      <w:pPr>
        <w:spacing w:before="0" w:after="80" w:line="324" w:lineRule="auto"/>
        <w:ind w:left="504" w:hanging="259"/>
      </w:pPr>
      <w:r>
        <w:rPr>
          <w:rFonts w:ascii="宋体" w:hAnsi="宋体" w:eastAsia="宋体"/>
          <w:sz w:val="24"/>
        </w:rPr>
        <w:t>• 订单金额与支付金额：分别体现下单口径与支付口径的销售规模。</w:t>
      </w:r>
    </w:p>
    <w:p w14:paraId="51948AEB">
      <w:pPr>
        <w:spacing w:before="0" w:after="80" w:line="324" w:lineRule="auto"/>
        <w:ind w:left="504" w:hanging="259"/>
      </w:pPr>
      <w:r>
        <w:rPr>
          <w:rFonts w:ascii="宋体" w:hAnsi="宋体" w:eastAsia="宋体"/>
          <w:sz w:val="24"/>
        </w:rPr>
        <w:t>• 退款金额与净销售额：用于观察售后影响及实际经营贡献。</w:t>
      </w:r>
    </w:p>
    <w:p w14:paraId="448A00C5">
      <w:pPr>
        <w:spacing w:before="0" w:after="80" w:line="324" w:lineRule="auto"/>
        <w:ind w:left="504" w:hanging="259"/>
      </w:pPr>
      <w:r>
        <w:rPr>
          <w:rFonts w:ascii="宋体" w:hAnsi="宋体" w:eastAsia="宋体"/>
          <w:sz w:val="24"/>
        </w:rPr>
        <w:t>• 人民币金额：通过汇率换算形成统一币种口径，便于跨项目比较。</w:t>
      </w:r>
    </w:p>
    <w:p w14:paraId="157A0CE9">
      <w:pPr>
        <w:pStyle w:val="4"/>
        <w:spacing w:before="120" w:after="120" w:line="288" w:lineRule="auto"/>
      </w:pPr>
      <w:bookmarkStart w:id="15" w:name="_Toc1406547494"/>
      <w:r>
        <w:rPr>
          <w:rFonts w:ascii="黑体" w:hAnsi="黑体" w:eastAsia="黑体"/>
          <w:b/>
          <w:color w:val="2F65A0"/>
          <w:sz w:val="28"/>
        </w:rPr>
        <w:t>5.2 事业部总揽操作步骤</w:t>
      </w:r>
      <w:bookmarkEnd w:id="15"/>
    </w:p>
    <w:p w14:paraId="7D7F1D13">
      <w:pPr>
        <w:spacing w:before="0" w:after="80" w:line="324" w:lineRule="auto"/>
        <w:ind w:left="403" w:hanging="403"/>
      </w:pPr>
      <w:r>
        <w:rPr>
          <w:rFonts w:ascii="宋体" w:hAnsi="宋体" w:eastAsia="宋体"/>
          <w:sz w:val="24"/>
        </w:rPr>
        <w:t>1. 进入首页后查看事业部总揽列表。</w:t>
      </w:r>
    </w:p>
    <w:p w14:paraId="36B37CE1">
      <w:pPr>
        <w:spacing w:before="0" w:after="80" w:line="324" w:lineRule="auto"/>
        <w:ind w:left="403" w:hanging="403"/>
      </w:pPr>
      <w:r>
        <w:rPr>
          <w:rFonts w:ascii="宋体" w:hAnsi="宋体" w:eastAsia="宋体"/>
          <w:sz w:val="24"/>
        </w:rPr>
        <w:t>2. 根据销售额、订单量、退款金额或完成率等字段识别重点事业部。</w:t>
      </w:r>
    </w:p>
    <w:p w14:paraId="3BB9F5B8">
      <w:pPr>
        <w:spacing w:before="0" w:after="80" w:line="324" w:lineRule="auto"/>
        <w:ind w:left="403" w:hanging="403"/>
      </w:pPr>
      <w:r>
        <w:rPr>
          <w:rFonts w:ascii="宋体" w:hAnsi="宋体" w:eastAsia="宋体"/>
          <w:sz w:val="24"/>
        </w:rPr>
        <w:t>3. 结合顶部筛选条件切换日期或币种，观察事业部排名变化。</w:t>
      </w:r>
    </w:p>
    <w:p w14:paraId="475E47D6">
      <w:pPr>
        <w:spacing w:before="0" w:after="80" w:line="324" w:lineRule="auto"/>
        <w:ind w:left="403" w:hanging="403"/>
      </w:pPr>
      <w:r>
        <w:rPr>
          <w:rFonts w:ascii="宋体" w:hAnsi="宋体" w:eastAsia="宋体"/>
          <w:sz w:val="24"/>
        </w:rPr>
        <w:t>4. 对于出现异常波动的事业部，可继续查看趋势分析或 AI 解读。</w:t>
      </w:r>
    </w:p>
    <w:p w14:paraId="3F372AE4">
      <w:pPr>
        <w:spacing w:before="0" w:after="80" w:line="324" w:lineRule="auto"/>
      </w:pPr>
      <w:r>
        <w:rPr>
          <w:rFonts w:ascii="宋体" w:hAnsi="宋体" w:eastAsia="宋体"/>
          <w:b w:val="0"/>
          <w:sz w:val="24"/>
        </w:rPr>
        <w:t>截图位置说明：下图展示事业部销售汇总列表，包括销售金额、订单数量、净销售额和变化率等字段。</w:t>
      </w:r>
    </w:p>
    <w:p w14:paraId="50699DCA">
      <w:pPr>
        <w:spacing w:before="80" w:after="40" w:line="240" w:lineRule="auto"/>
        <w:jc w:val="center"/>
      </w:pPr>
      <w:r>
        <w:drawing>
          <wp:inline distT="0" distB="0" distL="114300" distR="114300">
            <wp:extent cx="6403340" cy="1349375"/>
            <wp:effectExtent l="0" t="0" r="22860" b="2222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8"/>
                    <a:stretch>
                      <a:fillRect/>
                    </a:stretch>
                  </pic:blipFill>
                  <pic:spPr>
                    <a:xfrm>
                      <a:off x="0" y="0"/>
                      <a:ext cx="6403340" cy="1349375"/>
                    </a:xfrm>
                    <a:prstGeom prst="rect">
                      <a:avLst/>
                    </a:prstGeom>
                    <a:noFill/>
                    <a:ln>
                      <a:noFill/>
                    </a:ln>
                  </pic:spPr>
                </pic:pic>
              </a:graphicData>
            </a:graphic>
          </wp:inline>
        </w:drawing>
      </w:r>
    </w:p>
    <w:p w14:paraId="7DB84CF2">
      <w:pPr>
        <w:spacing w:before="0" w:after="160" w:line="240" w:lineRule="auto"/>
        <w:jc w:val="center"/>
      </w:pPr>
      <w:r>
        <w:rPr>
          <w:rFonts w:ascii="宋体" w:hAnsi="宋体" w:eastAsia="宋体"/>
          <w:color w:val="505050"/>
          <w:sz w:val="20"/>
        </w:rPr>
        <w:t>图 5-1 事业部总揽列表</w:t>
      </w:r>
    </w:p>
    <w:p w14:paraId="4EB72C27">
      <w:pPr>
        <w:pStyle w:val="4"/>
        <w:spacing w:before="120" w:after="120" w:line="288" w:lineRule="auto"/>
      </w:pPr>
      <w:bookmarkStart w:id="16" w:name="_Toc343745482"/>
      <w:r>
        <w:rPr>
          <w:rFonts w:ascii="黑体" w:hAnsi="黑体" w:eastAsia="黑体"/>
          <w:b/>
          <w:color w:val="2F65A0"/>
          <w:sz w:val="28"/>
        </w:rPr>
        <w:t>5.3 数据口径注意事项</w:t>
      </w:r>
      <w:bookmarkEnd w:id="16"/>
    </w:p>
    <w:p w14:paraId="0A57FBC4">
      <w:pPr>
        <w:spacing w:before="0" w:after="120" w:line="324" w:lineRule="auto"/>
        <w:ind w:firstLine="403"/>
      </w:pPr>
      <w:r>
        <w:rPr>
          <w:rFonts w:ascii="宋体" w:hAnsi="宋体" w:eastAsia="宋体"/>
          <w:b w:val="0"/>
          <w:sz w:val="24"/>
        </w:rPr>
        <w:t>事业部总揽的数据口径与 ADS 层汇总表保持一致。若筛选全部事业部，系统展示公司整体汇总及各事业部拆分结果；若选择单一事业部，趋势图和对比图会围绕该事业部重新计算。金额类字段在切换币种时需注意汇率日期和原币口径，避免将原币金额与人民币金额直接混用。</w:t>
      </w:r>
    </w:p>
    <w:p w14:paraId="2EEA7363">
      <w:pPr>
        <w:pStyle w:val="3"/>
        <w:spacing w:before="200" w:after="160" w:line="288" w:lineRule="auto"/>
      </w:pPr>
      <w:bookmarkStart w:id="17" w:name="_Toc599305544"/>
      <w:r>
        <w:rPr>
          <w:rFonts w:ascii="黑体" w:hAnsi="黑体" w:eastAsia="黑体"/>
          <w:b/>
          <w:color w:val="2F65A0"/>
          <w:sz w:val="32"/>
        </w:rPr>
        <w:t>6 趋势分析操作说明</w:t>
      </w:r>
      <w:bookmarkEnd w:id="17"/>
    </w:p>
    <w:p w14:paraId="13A7744B">
      <w:pPr>
        <w:spacing w:before="0" w:after="120" w:line="324" w:lineRule="auto"/>
        <w:ind w:firstLine="403"/>
      </w:pPr>
      <w:r>
        <w:rPr>
          <w:rFonts w:ascii="宋体" w:hAnsi="宋体" w:eastAsia="宋体"/>
          <w:b w:val="0"/>
          <w:sz w:val="24"/>
        </w:rPr>
        <w:t>趋势分析用于观察销售指标随时间变化的走势。月度趋势侧重跨月份对比，适合经营复盘和年度节奏观察；日度趋势侧重单月内每天变化，适合定位促销活动、节假日波动或异常下滑日期。</w:t>
      </w:r>
    </w:p>
    <w:p w14:paraId="6B4D98CE">
      <w:pPr>
        <w:pStyle w:val="4"/>
        <w:spacing w:before="120" w:after="120" w:line="288" w:lineRule="auto"/>
      </w:pPr>
      <w:bookmarkStart w:id="18" w:name="_Toc829973578"/>
      <w:r>
        <w:rPr>
          <w:rFonts w:ascii="黑体" w:hAnsi="黑体" w:eastAsia="黑体"/>
          <w:b/>
          <w:color w:val="2F65A0"/>
          <w:sz w:val="28"/>
        </w:rPr>
        <w:t>6.1 月度趋势</w:t>
      </w:r>
      <w:bookmarkEnd w:id="18"/>
    </w:p>
    <w:p w14:paraId="415813A1">
      <w:pPr>
        <w:spacing w:before="0" w:after="80" w:line="324" w:lineRule="auto"/>
        <w:ind w:left="403" w:hanging="403"/>
      </w:pPr>
      <w:r>
        <w:rPr>
          <w:rFonts w:ascii="宋体" w:hAnsi="宋体" w:eastAsia="宋体"/>
          <w:sz w:val="24"/>
        </w:rPr>
        <w:t>1. 在大屏中定位“月度趋势”区域。</w:t>
      </w:r>
    </w:p>
    <w:p w14:paraId="63A5605B">
      <w:pPr>
        <w:spacing w:before="0" w:after="80" w:line="324" w:lineRule="auto"/>
        <w:ind w:left="403" w:hanging="403"/>
      </w:pPr>
      <w:r>
        <w:rPr>
          <w:rFonts w:ascii="宋体" w:hAnsi="宋体" w:eastAsia="宋体"/>
          <w:sz w:val="24"/>
        </w:rPr>
        <w:t>2. 选择需要查看的年份、事业部和币种口径。</w:t>
      </w:r>
    </w:p>
    <w:p w14:paraId="7301212F">
      <w:pPr>
        <w:spacing w:before="0" w:after="80" w:line="324" w:lineRule="auto"/>
        <w:ind w:left="403" w:hanging="403"/>
      </w:pPr>
      <w:r>
        <w:rPr>
          <w:rFonts w:ascii="宋体" w:hAnsi="宋体" w:eastAsia="宋体"/>
          <w:sz w:val="24"/>
        </w:rPr>
        <w:t>3. 观察折线峰值、低谷、连续增长或连续下滑区间。</w:t>
      </w:r>
    </w:p>
    <w:p w14:paraId="02496CDB">
      <w:pPr>
        <w:spacing w:before="0" w:after="80" w:line="324" w:lineRule="auto"/>
        <w:ind w:left="403" w:hanging="403"/>
      </w:pPr>
      <w:r>
        <w:rPr>
          <w:rFonts w:ascii="宋体" w:hAnsi="宋体" w:eastAsia="宋体"/>
          <w:sz w:val="24"/>
        </w:rPr>
        <w:t>4. 将月度趋势与年度对比、目标完成数据结合分析。</w:t>
      </w:r>
    </w:p>
    <w:p w14:paraId="618C2A94">
      <w:pPr>
        <w:spacing w:before="0" w:after="80" w:line="324" w:lineRule="auto"/>
      </w:pPr>
      <w:r>
        <w:rPr>
          <w:rFonts w:ascii="宋体" w:hAnsi="宋体" w:eastAsia="宋体"/>
          <w:b w:val="0"/>
          <w:sz w:val="24"/>
        </w:rPr>
        <w:t>截图位置说明：下图展示月度趋势图，可用于观察多个月份之间的销售走势和业务波动。</w:t>
      </w:r>
    </w:p>
    <w:p w14:paraId="71C10C83">
      <w:pPr>
        <w:spacing w:before="80" w:after="40" w:line="240" w:lineRule="auto"/>
        <w:jc w:val="center"/>
      </w:pPr>
      <w:r>
        <w:drawing>
          <wp:inline distT="0" distB="0" distL="114300" distR="114300">
            <wp:extent cx="6403340" cy="3070225"/>
            <wp:effectExtent l="0" t="0" r="2286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6403340" cy="3070225"/>
                    </a:xfrm>
                    <a:prstGeom prst="rect">
                      <a:avLst/>
                    </a:prstGeom>
                    <a:noFill/>
                    <a:ln>
                      <a:noFill/>
                    </a:ln>
                  </pic:spPr>
                </pic:pic>
              </a:graphicData>
            </a:graphic>
          </wp:inline>
        </w:drawing>
      </w:r>
    </w:p>
    <w:p w14:paraId="185A8AA3">
      <w:pPr>
        <w:spacing w:before="0" w:after="160" w:line="240" w:lineRule="auto"/>
        <w:jc w:val="center"/>
      </w:pPr>
      <w:r>
        <w:rPr>
          <w:rFonts w:ascii="宋体" w:hAnsi="宋体" w:eastAsia="宋体"/>
          <w:color w:val="505050"/>
          <w:sz w:val="20"/>
        </w:rPr>
        <w:t>图 6-1 月度销售趋势图</w:t>
      </w:r>
    </w:p>
    <w:p w14:paraId="092956B3">
      <w:pPr>
        <w:pStyle w:val="4"/>
        <w:spacing w:before="120" w:after="120" w:line="288" w:lineRule="auto"/>
      </w:pPr>
      <w:bookmarkStart w:id="19" w:name="_Toc1459638181"/>
      <w:r>
        <w:rPr>
          <w:rFonts w:ascii="黑体" w:hAnsi="黑体" w:eastAsia="黑体"/>
          <w:b/>
          <w:color w:val="2F65A0"/>
          <w:sz w:val="28"/>
        </w:rPr>
        <w:t>6.2 日度趋势</w:t>
      </w:r>
      <w:bookmarkEnd w:id="19"/>
    </w:p>
    <w:p w14:paraId="7E84688B">
      <w:pPr>
        <w:spacing w:before="0" w:after="80" w:line="324" w:lineRule="auto"/>
        <w:ind w:left="403" w:hanging="403"/>
      </w:pPr>
      <w:r>
        <w:rPr>
          <w:rFonts w:ascii="宋体" w:hAnsi="宋体" w:eastAsia="宋体"/>
          <w:sz w:val="24"/>
        </w:rPr>
        <w:t>1. 进入日度趋势区域，选择目标年月。</w:t>
      </w:r>
    </w:p>
    <w:p w14:paraId="43F52870">
      <w:pPr>
        <w:spacing w:before="0" w:after="80" w:line="324" w:lineRule="auto"/>
        <w:ind w:left="403" w:hanging="403"/>
      </w:pPr>
      <w:r>
        <w:rPr>
          <w:rFonts w:ascii="宋体" w:hAnsi="宋体" w:eastAsia="宋体"/>
          <w:sz w:val="24"/>
        </w:rPr>
        <w:t>2. 查看每天订单、金额或净销售额变化曲线。</w:t>
      </w:r>
    </w:p>
    <w:p w14:paraId="71DCEF0C">
      <w:pPr>
        <w:spacing w:before="0" w:after="80" w:line="324" w:lineRule="auto"/>
        <w:ind w:left="403" w:hanging="403"/>
      </w:pPr>
      <w:r>
        <w:rPr>
          <w:rFonts w:ascii="宋体" w:hAnsi="宋体" w:eastAsia="宋体"/>
          <w:sz w:val="24"/>
        </w:rPr>
        <w:t>3. 通过鼠标悬停查看具体日期的指标数值。</w:t>
      </w:r>
    </w:p>
    <w:p w14:paraId="7CA4D779">
      <w:pPr>
        <w:spacing w:before="0" w:after="80" w:line="324" w:lineRule="auto"/>
        <w:ind w:left="403" w:hanging="403"/>
      </w:pPr>
      <w:r>
        <w:rPr>
          <w:rFonts w:ascii="宋体" w:hAnsi="宋体" w:eastAsia="宋体"/>
          <w:sz w:val="24"/>
        </w:rPr>
        <w:t>4. 若某日数据异常，结合订单源数据和调度日志进行排查。</w:t>
      </w:r>
    </w:p>
    <w:p w14:paraId="1306E96B">
      <w:pPr>
        <w:spacing w:before="0" w:after="80" w:line="324" w:lineRule="auto"/>
      </w:pPr>
      <w:r>
        <w:rPr>
          <w:rFonts w:ascii="宋体" w:hAnsi="宋体" w:eastAsia="宋体"/>
          <w:b w:val="0"/>
          <w:sz w:val="24"/>
        </w:rPr>
        <w:t>截图位置说明：下图展示日度趋势图，适合查看单月内每日经营指标变化。</w:t>
      </w:r>
    </w:p>
    <w:p w14:paraId="669AAAD0">
      <w:pPr>
        <w:spacing w:before="80" w:after="40" w:line="240" w:lineRule="auto"/>
        <w:jc w:val="center"/>
      </w:pPr>
      <w:r>
        <w:drawing>
          <wp:inline distT="0" distB="0" distL="114300" distR="114300">
            <wp:extent cx="6404610" cy="3037840"/>
            <wp:effectExtent l="0" t="0" r="21590" b="1016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0"/>
                    <a:stretch>
                      <a:fillRect/>
                    </a:stretch>
                  </pic:blipFill>
                  <pic:spPr>
                    <a:xfrm>
                      <a:off x="0" y="0"/>
                      <a:ext cx="6404610" cy="3037840"/>
                    </a:xfrm>
                    <a:prstGeom prst="rect">
                      <a:avLst/>
                    </a:prstGeom>
                    <a:noFill/>
                    <a:ln>
                      <a:noFill/>
                    </a:ln>
                  </pic:spPr>
                </pic:pic>
              </a:graphicData>
            </a:graphic>
          </wp:inline>
        </w:drawing>
      </w:r>
    </w:p>
    <w:p w14:paraId="2B7B731E">
      <w:pPr>
        <w:spacing w:before="0" w:after="160" w:line="240" w:lineRule="auto"/>
        <w:jc w:val="center"/>
      </w:pPr>
      <w:r>
        <w:rPr>
          <w:rFonts w:ascii="宋体" w:hAnsi="宋体" w:eastAsia="宋体"/>
          <w:color w:val="505050"/>
          <w:sz w:val="20"/>
        </w:rPr>
        <w:t>图 6-2 日度销售趋势图</w:t>
      </w:r>
    </w:p>
    <w:p w14:paraId="7CCED399">
      <w:pPr>
        <w:pStyle w:val="3"/>
        <w:spacing w:before="200" w:after="160" w:line="288" w:lineRule="auto"/>
      </w:pPr>
      <w:bookmarkStart w:id="20" w:name="_Toc1433208386"/>
      <w:r>
        <w:rPr>
          <w:rFonts w:ascii="黑体" w:hAnsi="黑体" w:eastAsia="黑体"/>
          <w:b/>
          <w:color w:val="2F65A0"/>
          <w:sz w:val="32"/>
        </w:rPr>
        <w:t>7 年度对比与事业部对比</w:t>
      </w:r>
      <w:bookmarkEnd w:id="20"/>
    </w:p>
    <w:p w14:paraId="6EF508C4">
      <w:pPr>
        <w:spacing w:before="0" w:after="120" w:line="324" w:lineRule="auto"/>
        <w:ind w:firstLine="403"/>
      </w:pPr>
      <w:r>
        <w:rPr>
          <w:rFonts w:ascii="宋体" w:hAnsi="宋体" w:eastAsia="宋体"/>
          <w:b w:val="0"/>
          <w:sz w:val="24"/>
        </w:rPr>
        <w:t>年度对比用于查看不同年份之间的销售差异，事业部对比用于横向比较不同事业部的表现。两个模块通常配合使用：年度对比观察周期趋势，事业部对比定位贡献最大的业务单元或需要关注的业务单元。</w:t>
      </w:r>
    </w:p>
    <w:p w14:paraId="5A19CB8E">
      <w:pPr>
        <w:pStyle w:val="4"/>
        <w:spacing w:before="120" w:after="120" w:line="288" w:lineRule="auto"/>
      </w:pPr>
      <w:bookmarkStart w:id="21" w:name="_Toc1756758750"/>
      <w:r>
        <w:rPr>
          <w:rFonts w:ascii="黑体" w:hAnsi="黑体" w:eastAsia="黑体"/>
          <w:b/>
          <w:color w:val="2F65A0"/>
          <w:sz w:val="28"/>
        </w:rPr>
        <w:t>7.1 年度对比</w:t>
      </w:r>
      <w:bookmarkEnd w:id="21"/>
    </w:p>
    <w:p w14:paraId="7ED92386">
      <w:pPr>
        <w:spacing w:before="0" w:after="80" w:line="324" w:lineRule="auto"/>
        <w:ind w:left="403" w:hanging="403"/>
      </w:pPr>
      <w:r>
        <w:rPr>
          <w:rFonts w:ascii="宋体" w:hAnsi="宋体" w:eastAsia="宋体"/>
          <w:sz w:val="24"/>
        </w:rPr>
        <w:t>1. 选择目标年度和统计口径。</w:t>
      </w:r>
    </w:p>
    <w:p w14:paraId="72AE2EB2">
      <w:pPr>
        <w:spacing w:before="0" w:after="80" w:line="324" w:lineRule="auto"/>
        <w:ind w:left="403" w:hanging="403"/>
      </w:pPr>
      <w:r>
        <w:rPr>
          <w:rFonts w:ascii="宋体" w:hAnsi="宋体" w:eastAsia="宋体"/>
          <w:sz w:val="24"/>
        </w:rPr>
        <w:t>2. 查看柱状图中不同年份或月份的销售金额、订单量变化。</w:t>
      </w:r>
    </w:p>
    <w:p w14:paraId="58B7E9D1">
      <w:pPr>
        <w:spacing w:before="0" w:after="80" w:line="324" w:lineRule="auto"/>
        <w:ind w:left="403" w:hanging="403"/>
      </w:pPr>
      <w:r>
        <w:rPr>
          <w:rFonts w:ascii="宋体" w:hAnsi="宋体" w:eastAsia="宋体"/>
          <w:sz w:val="24"/>
        </w:rPr>
        <w:t>3. 重点关注同比增长明显、同比下降明显或缺少数据的月份。</w:t>
      </w:r>
    </w:p>
    <w:p w14:paraId="63345D06">
      <w:pPr>
        <w:spacing w:before="0" w:after="80" w:line="324" w:lineRule="auto"/>
        <w:ind w:left="403" w:hanging="403"/>
      </w:pPr>
      <w:r>
        <w:rPr>
          <w:rFonts w:ascii="宋体" w:hAnsi="宋体" w:eastAsia="宋体"/>
          <w:sz w:val="24"/>
        </w:rPr>
        <w:t>4. 结合目标完成模块判断增长是否达到计划要求。</w:t>
      </w:r>
    </w:p>
    <w:p w14:paraId="264C92FE">
      <w:pPr>
        <w:spacing w:before="0" w:after="80" w:line="324" w:lineRule="auto"/>
      </w:pPr>
      <w:r>
        <w:rPr>
          <w:rFonts w:ascii="宋体" w:hAnsi="宋体" w:eastAsia="宋体"/>
          <w:b w:val="0"/>
          <w:sz w:val="24"/>
        </w:rPr>
        <w:t>截图位置说明：下图展示年度销售对比柱状图，可用于观察年度之间的销售差异。</w:t>
      </w:r>
    </w:p>
    <w:p w14:paraId="1BCE8EBC">
      <w:pPr>
        <w:spacing w:before="80" w:after="40" w:line="240" w:lineRule="auto"/>
        <w:jc w:val="center"/>
      </w:pPr>
      <w:r>
        <w:drawing>
          <wp:inline distT="0" distB="0" distL="114300" distR="114300">
            <wp:extent cx="6402070" cy="3007360"/>
            <wp:effectExtent l="0" t="0" r="24130" b="1524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1"/>
                    <a:stretch>
                      <a:fillRect/>
                    </a:stretch>
                  </pic:blipFill>
                  <pic:spPr>
                    <a:xfrm>
                      <a:off x="0" y="0"/>
                      <a:ext cx="6402070" cy="3007360"/>
                    </a:xfrm>
                    <a:prstGeom prst="rect">
                      <a:avLst/>
                    </a:prstGeom>
                    <a:noFill/>
                    <a:ln>
                      <a:noFill/>
                    </a:ln>
                  </pic:spPr>
                </pic:pic>
              </a:graphicData>
            </a:graphic>
          </wp:inline>
        </w:drawing>
      </w:r>
    </w:p>
    <w:p w14:paraId="0046165D">
      <w:pPr>
        <w:spacing w:before="0" w:after="160" w:line="240" w:lineRule="auto"/>
        <w:jc w:val="center"/>
      </w:pPr>
      <w:r>
        <w:rPr>
          <w:rFonts w:ascii="宋体" w:hAnsi="宋体" w:eastAsia="宋体"/>
          <w:color w:val="505050"/>
          <w:sz w:val="20"/>
        </w:rPr>
        <w:t>图 7-1 年度销售对比图</w:t>
      </w:r>
    </w:p>
    <w:p w14:paraId="71D2073E">
      <w:pPr>
        <w:pStyle w:val="4"/>
        <w:spacing w:before="120" w:after="120" w:line="288" w:lineRule="auto"/>
      </w:pPr>
      <w:bookmarkStart w:id="22" w:name="_Toc91648647"/>
      <w:r>
        <w:rPr>
          <w:rFonts w:ascii="黑体" w:hAnsi="黑体" w:eastAsia="黑体"/>
          <w:b/>
          <w:color w:val="2F65A0"/>
          <w:sz w:val="28"/>
        </w:rPr>
        <w:t>7.2 事业部对比</w:t>
      </w:r>
      <w:bookmarkEnd w:id="22"/>
    </w:p>
    <w:p w14:paraId="4DA03C0D">
      <w:pPr>
        <w:spacing w:before="0" w:after="80" w:line="324" w:lineRule="auto"/>
        <w:ind w:left="403" w:hanging="403"/>
      </w:pPr>
      <w:r>
        <w:rPr>
          <w:rFonts w:ascii="宋体" w:hAnsi="宋体" w:eastAsia="宋体"/>
          <w:sz w:val="24"/>
        </w:rPr>
        <w:t>1. 进入事业部对比区域。</w:t>
      </w:r>
    </w:p>
    <w:p w14:paraId="1F12FB9E">
      <w:pPr>
        <w:spacing w:before="0" w:after="80" w:line="324" w:lineRule="auto"/>
        <w:ind w:left="403" w:hanging="403"/>
      </w:pPr>
      <w:r>
        <w:rPr>
          <w:rFonts w:ascii="宋体" w:hAnsi="宋体" w:eastAsia="宋体"/>
          <w:sz w:val="24"/>
        </w:rPr>
        <w:t>2. 查看各事业部在选定时间内的销售额或净销售额排名。</w:t>
      </w:r>
    </w:p>
    <w:p w14:paraId="63DFB7EB">
      <w:pPr>
        <w:spacing w:before="0" w:after="80" w:line="324" w:lineRule="auto"/>
        <w:ind w:left="403" w:hanging="403"/>
      </w:pPr>
      <w:r>
        <w:rPr>
          <w:rFonts w:ascii="宋体" w:hAnsi="宋体" w:eastAsia="宋体"/>
          <w:sz w:val="24"/>
        </w:rPr>
        <w:t>3. 对比排名靠前和靠后的事业部，结合退款、订单量和目标完成率判断经营质量。</w:t>
      </w:r>
    </w:p>
    <w:p w14:paraId="6EDFFED1">
      <w:pPr>
        <w:spacing w:before="0" w:after="80" w:line="324" w:lineRule="auto"/>
        <w:ind w:left="403" w:hanging="403"/>
      </w:pPr>
      <w:r>
        <w:rPr>
          <w:rFonts w:ascii="宋体" w:hAnsi="宋体" w:eastAsia="宋体"/>
          <w:sz w:val="24"/>
        </w:rPr>
        <w:t>4. 将对比结果作为经营会议中的重点复盘依据。</w:t>
      </w:r>
    </w:p>
    <w:p w14:paraId="60A26DCA">
      <w:pPr>
        <w:spacing w:before="0" w:after="80" w:line="324" w:lineRule="auto"/>
      </w:pPr>
      <w:r>
        <w:rPr>
          <w:rFonts w:ascii="宋体" w:hAnsi="宋体" w:eastAsia="宋体"/>
          <w:b w:val="0"/>
          <w:sz w:val="24"/>
        </w:rPr>
        <w:t>截图位置说明：下图展示事业部横向对比图，用于识别销售贡献和重点关注对象。</w:t>
      </w:r>
    </w:p>
    <w:p w14:paraId="637CE212">
      <w:pPr>
        <w:spacing w:before="80" w:after="40" w:line="240" w:lineRule="auto"/>
        <w:jc w:val="center"/>
      </w:pPr>
      <w:r>
        <w:drawing>
          <wp:inline distT="0" distB="0" distL="114300" distR="114300">
            <wp:extent cx="6395085" cy="3017520"/>
            <wp:effectExtent l="0" t="0" r="5715" b="50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2"/>
                    <a:stretch>
                      <a:fillRect/>
                    </a:stretch>
                  </pic:blipFill>
                  <pic:spPr>
                    <a:xfrm>
                      <a:off x="0" y="0"/>
                      <a:ext cx="6395085" cy="3017520"/>
                    </a:xfrm>
                    <a:prstGeom prst="rect">
                      <a:avLst/>
                    </a:prstGeom>
                    <a:noFill/>
                    <a:ln>
                      <a:noFill/>
                    </a:ln>
                  </pic:spPr>
                </pic:pic>
              </a:graphicData>
            </a:graphic>
          </wp:inline>
        </w:drawing>
      </w:r>
    </w:p>
    <w:p w14:paraId="58754330">
      <w:pPr>
        <w:spacing w:before="0" w:after="160" w:line="240" w:lineRule="auto"/>
        <w:jc w:val="center"/>
      </w:pPr>
      <w:r>
        <w:rPr>
          <w:rFonts w:ascii="宋体" w:hAnsi="宋体" w:eastAsia="宋体"/>
          <w:color w:val="505050"/>
          <w:sz w:val="20"/>
        </w:rPr>
        <w:t>图 7-2 事业部销售对比图</w:t>
      </w:r>
    </w:p>
    <w:p w14:paraId="34888782">
      <w:pPr>
        <w:pStyle w:val="3"/>
        <w:spacing w:before="200" w:after="160" w:line="288" w:lineRule="auto"/>
      </w:pPr>
      <w:bookmarkStart w:id="23" w:name="_Toc593035230"/>
      <w:r>
        <w:rPr>
          <w:rFonts w:ascii="黑体" w:hAnsi="黑体" w:eastAsia="黑体"/>
          <w:b/>
          <w:color w:val="2F65A0"/>
          <w:sz w:val="32"/>
        </w:rPr>
        <w:t>8 目标完成管理</w:t>
      </w:r>
      <w:bookmarkEnd w:id="23"/>
    </w:p>
    <w:p w14:paraId="298FAD1B">
      <w:pPr>
        <w:spacing w:before="0" w:after="120" w:line="324" w:lineRule="auto"/>
        <w:ind w:firstLine="403"/>
      </w:pPr>
      <w:r>
        <w:rPr>
          <w:rFonts w:ascii="宋体" w:hAnsi="宋体" w:eastAsia="宋体"/>
          <w:b w:val="0"/>
          <w:sz w:val="24"/>
        </w:rPr>
        <w:t>目标完成管理用于展示销售目标计划和实际完成情况。系统读取销售目标相关 ADS 表，按年度、月份、事业部和项目汇总目标金额、实际金额、累计实际金额、目标差额、日完成率、累计完成率、月度预估完成率和年度预估完成率。</w:t>
      </w:r>
    </w:p>
    <w:p w14:paraId="1D2FEC57">
      <w:pPr>
        <w:pStyle w:val="4"/>
        <w:spacing w:before="120" w:after="120" w:line="288" w:lineRule="auto"/>
      </w:pPr>
      <w:bookmarkStart w:id="24" w:name="_Toc671504883"/>
      <w:r>
        <w:rPr>
          <w:rFonts w:ascii="黑体" w:hAnsi="黑体" w:eastAsia="黑体"/>
          <w:b/>
          <w:color w:val="2F65A0"/>
          <w:sz w:val="28"/>
        </w:rPr>
        <w:t>8.1 目标列表查看</w:t>
      </w:r>
      <w:bookmarkEnd w:id="24"/>
    </w:p>
    <w:p w14:paraId="0A0FB22B">
      <w:pPr>
        <w:spacing w:before="0" w:after="80" w:line="324" w:lineRule="auto"/>
        <w:ind w:left="403" w:hanging="403"/>
      </w:pPr>
      <w:r>
        <w:rPr>
          <w:rFonts w:ascii="宋体" w:hAnsi="宋体" w:eastAsia="宋体"/>
          <w:sz w:val="24"/>
        </w:rPr>
        <w:t>1. 进入目标完成页面或目标管理区域。</w:t>
      </w:r>
    </w:p>
    <w:p w14:paraId="46C085B0">
      <w:pPr>
        <w:spacing w:before="0" w:after="80" w:line="324" w:lineRule="auto"/>
        <w:ind w:left="403" w:hanging="403"/>
      </w:pPr>
      <w:r>
        <w:rPr>
          <w:rFonts w:ascii="宋体" w:hAnsi="宋体" w:eastAsia="宋体"/>
          <w:sz w:val="24"/>
        </w:rPr>
        <w:t>2. 选择年度、月份或事业部条件。</w:t>
      </w:r>
    </w:p>
    <w:p w14:paraId="4EA7D993">
      <w:pPr>
        <w:spacing w:before="0" w:after="80" w:line="324" w:lineRule="auto"/>
        <w:ind w:left="403" w:hanging="403"/>
      </w:pPr>
      <w:r>
        <w:rPr>
          <w:rFonts w:ascii="宋体" w:hAnsi="宋体" w:eastAsia="宋体"/>
          <w:sz w:val="24"/>
        </w:rPr>
        <w:t>3. 查看目标金额、实际金额、完成率和差额。</w:t>
      </w:r>
    </w:p>
    <w:p w14:paraId="0D6E1D57">
      <w:pPr>
        <w:spacing w:before="0" w:after="80" w:line="324" w:lineRule="auto"/>
        <w:ind w:left="403" w:hanging="403"/>
      </w:pPr>
      <w:r>
        <w:rPr>
          <w:rFonts w:ascii="宋体" w:hAnsi="宋体" w:eastAsia="宋体"/>
          <w:sz w:val="24"/>
        </w:rPr>
        <w:t>4. 对完成率低于预期的事业部或项目进行标记，并结合趋势图进一步分析。</w:t>
      </w:r>
    </w:p>
    <w:p w14:paraId="4C62E75E">
      <w:pPr>
        <w:spacing w:before="0" w:after="80" w:line="324" w:lineRule="auto"/>
      </w:pPr>
      <w:r>
        <w:rPr>
          <w:rFonts w:ascii="宋体" w:hAnsi="宋体" w:eastAsia="宋体"/>
          <w:b w:val="0"/>
          <w:sz w:val="24"/>
        </w:rPr>
        <w:t>截图位置说明：下图展示目标完成页面，包括年度、月份、事业部和目标明细入口。</w:t>
      </w:r>
    </w:p>
    <w:p w14:paraId="6DBF62F4">
      <w:pPr>
        <w:spacing w:before="80" w:after="40" w:line="240" w:lineRule="auto"/>
        <w:jc w:val="center"/>
      </w:pPr>
      <w:r>
        <w:drawing>
          <wp:inline distT="0" distB="0" distL="114300" distR="114300">
            <wp:extent cx="6404610" cy="5715635"/>
            <wp:effectExtent l="0" t="0" r="21590" b="2476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6404610" cy="5715635"/>
                    </a:xfrm>
                    <a:prstGeom prst="rect">
                      <a:avLst/>
                    </a:prstGeom>
                    <a:noFill/>
                    <a:ln>
                      <a:noFill/>
                    </a:ln>
                  </pic:spPr>
                </pic:pic>
              </a:graphicData>
            </a:graphic>
          </wp:inline>
        </w:drawing>
      </w:r>
    </w:p>
    <w:p w14:paraId="4B3DA95D">
      <w:pPr>
        <w:spacing w:before="0" w:after="160" w:line="240" w:lineRule="auto"/>
        <w:jc w:val="center"/>
      </w:pPr>
      <w:r>
        <w:rPr>
          <w:rFonts w:ascii="宋体" w:hAnsi="宋体" w:eastAsia="宋体"/>
          <w:color w:val="505050"/>
          <w:sz w:val="20"/>
        </w:rPr>
        <w:t>图 8-1 销售目标完成页面</w:t>
      </w:r>
    </w:p>
    <w:p w14:paraId="75AB19DC">
      <w:pPr>
        <w:pStyle w:val="4"/>
        <w:spacing w:before="120" w:after="120" w:line="288" w:lineRule="auto"/>
      </w:pPr>
      <w:bookmarkStart w:id="25" w:name="_Toc956003596"/>
      <w:r>
        <w:rPr>
          <w:rFonts w:ascii="黑体" w:hAnsi="黑体" w:eastAsia="黑体"/>
          <w:b/>
          <w:color w:val="2F65A0"/>
          <w:sz w:val="28"/>
        </w:rPr>
        <w:t>8.2 目标明细与预估</w:t>
      </w:r>
      <w:bookmarkEnd w:id="25"/>
    </w:p>
    <w:p w14:paraId="64BABF71">
      <w:pPr>
        <w:spacing w:before="0" w:after="120" w:line="324" w:lineRule="auto"/>
        <w:ind w:firstLine="403"/>
      </w:pPr>
      <w:r>
        <w:rPr>
          <w:rFonts w:ascii="宋体" w:hAnsi="宋体" w:eastAsia="宋体"/>
          <w:b w:val="0"/>
          <w:sz w:val="24"/>
        </w:rPr>
        <w:t>目标完成指标支持当天实际销售额、当月累计销售额、目标差额、当天完成率、累计完成率、月预估实际销售额、月目标预估完成率、年累计实际销售额和年预估完成率等字段。业务人员可根据这些字段判断当前月是否存在达成风险，也可在经营会议中说明差额来源和后续追赶空间。</w:t>
      </w:r>
    </w:p>
    <w:p w14:paraId="6CE87CEA">
      <w:pPr>
        <w:spacing w:before="0" w:after="80" w:line="324" w:lineRule="auto"/>
      </w:pPr>
      <w:r>
        <w:rPr>
          <w:rFonts w:ascii="宋体" w:hAnsi="宋体" w:eastAsia="宋体"/>
          <w:b w:val="0"/>
          <w:sz w:val="24"/>
        </w:rPr>
        <w:t>截图位置说明：下图展示目标完成明细表格，可用于查看各事业部或项目的目标与实际完成情况。</w:t>
      </w:r>
    </w:p>
    <w:p w14:paraId="1857F16B">
      <w:pPr>
        <w:spacing w:before="80" w:after="40" w:line="240" w:lineRule="auto"/>
        <w:jc w:val="center"/>
      </w:pPr>
      <w:r>
        <w:drawing>
          <wp:inline distT="0" distB="0" distL="114300" distR="114300">
            <wp:extent cx="6407150" cy="3030220"/>
            <wp:effectExtent l="0" t="0" r="19050" b="1778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4"/>
                    <a:stretch>
                      <a:fillRect/>
                    </a:stretch>
                  </pic:blipFill>
                  <pic:spPr>
                    <a:xfrm>
                      <a:off x="0" y="0"/>
                      <a:ext cx="6407150" cy="3030220"/>
                    </a:xfrm>
                    <a:prstGeom prst="rect">
                      <a:avLst/>
                    </a:prstGeom>
                    <a:noFill/>
                    <a:ln>
                      <a:noFill/>
                    </a:ln>
                  </pic:spPr>
                </pic:pic>
              </a:graphicData>
            </a:graphic>
          </wp:inline>
        </w:drawing>
      </w:r>
    </w:p>
    <w:p w14:paraId="0B5CF23F">
      <w:pPr>
        <w:spacing w:before="0" w:after="160" w:line="240" w:lineRule="auto"/>
        <w:jc w:val="center"/>
      </w:pPr>
      <w:r>
        <w:rPr>
          <w:rFonts w:ascii="宋体" w:hAnsi="宋体" w:eastAsia="宋体"/>
          <w:color w:val="505050"/>
          <w:sz w:val="20"/>
        </w:rPr>
        <w:t>图 8-2 目标完成明细列表</w:t>
      </w:r>
    </w:p>
    <w:p w14:paraId="07316214">
      <w:pPr>
        <w:pStyle w:val="3"/>
        <w:spacing w:before="200" w:after="160" w:line="288" w:lineRule="auto"/>
      </w:pPr>
      <w:bookmarkStart w:id="26" w:name="_Toc79791118"/>
      <w:r>
        <w:rPr>
          <w:rFonts w:ascii="黑体" w:hAnsi="黑体" w:eastAsia="黑体"/>
          <w:b/>
          <w:color w:val="2F65A0"/>
          <w:sz w:val="32"/>
        </w:rPr>
        <w:t>9 AI 智能解读与报表导出</w:t>
      </w:r>
      <w:bookmarkEnd w:id="26"/>
    </w:p>
    <w:p w14:paraId="1A33912B">
      <w:pPr>
        <w:spacing w:before="0" w:after="120" w:line="324" w:lineRule="auto"/>
        <w:ind w:firstLine="403"/>
      </w:pPr>
      <w:r>
        <w:rPr>
          <w:rFonts w:ascii="宋体" w:hAnsi="宋体" w:eastAsia="宋体"/>
          <w:b w:val="0"/>
          <w:sz w:val="24"/>
        </w:rPr>
        <w:t>系统提供 AI 智能解读能力，前端通过 SSE 流式接口展示核心指标、事业部总揽、月度趋势、日度趋势、年度对比和事业部对比等模块的分析文本。AI 解读以当前筛选条件下的数据为基础，输出增长亮点、异常波动、目标缺口和重点关注对象。</w:t>
      </w:r>
    </w:p>
    <w:p w14:paraId="3A783528">
      <w:pPr>
        <w:pStyle w:val="4"/>
        <w:spacing w:before="120" w:after="120" w:line="288" w:lineRule="auto"/>
      </w:pPr>
      <w:bookmarkStart w:id="27" w:name="_Toc1019524498"/>
      <w:r>
        <w:rPr>
          <w:rFonts w:ascii="黑体" w:hAnsi="黑体" w:eastAsia="黑体"/>
          <w:b/>
          <w:color w:val="2F65A0"/>
          <w:sz w:val="28"/>
        </w:rPr>
        <w:t>9.1 AI 智能解读</w:t>
      </w:r>
      <w:bookmarkEnd w:id="27"/>
    </w:p>
    <w:p w14:paraId="1996D098">
      <w:pPr>
        <w:spacing w:before="0" w:after="80" w:line="324" w:lineRule="auto"/>
        <w:ind w:left="403" w:hanging="403"/>
      </w:pPr>
      <w:r>
        <w:rPr>
          <w:rFonts w:ascii="宋体" w:hAnsi="宋体" w:eastAsia="宋体"/>
          <w:sz w:val="24"/>
        </w:rPr>
        <w:t>1. 在首页或图表区域点击 AI 解读入口。</w:t>
      </w:r>
    </w:p>
    <w:p w14:paraId="17BB85EB">
      <w:pPr>
        <w:spacing w:before="0" w:after="80" w:line="324" w:lineRule="auto"/>
        <w:ind w:left="403" w:hanging="403"/>
      </w:pPr>
      <w:r>
        <w:rPr>
          <w:rFonts w:ascii="宋体" w:hAnsi="宋体" w:eastAsia="宋体"/>
          <w:sz w:val="24"/>
        </w:rPr>
        <w:t>2. 等待系统根据当前指标生成分析内容。</w:t>
      </w:r>
    </w:p>
    <w:p w14:paraId="7D6384D4">
      <w:pPr>
        <w:spacing w:before="0" w:after="80" w:line="324" w:lineRule="auto"/>
        <w:ind w:left="403" w:hanging="403"/>
      </w:pPr>
      <w:r>
        <w:rPr>
          <w:rFonts w:ascii="宋体" w:hAnsi="宋体" w:eastAsia="宋体"/>
          <w:sz w:val="24"/>
        </w:rPr>
        <w:t>3. 阅读增长、下降、排名变化和目标风险等提示。</w:t>
      </w:r>
    </w:p>
    <w:p w14:paraId="12EEE453">
      <w:pPr>
        <w:spacing w:before="0" w:after="80" w:line="324" w:lineRule="auto"/>
        <w:ind w:left="403" w:hanging="403"/>
      </w:pPr>
      <w:r>
        <w:rPr>
          <w:rFonts w:ascii="宋体" w:hAnsi="宋体" w:eastAsia="宋体"/>
          <w:sz w:val="24"/>
        </w:rPr>
        <w:t>4. 如 AI 流式输出中断，可关闭弹窗后重新触发。</w:t>
      </w:r>
    </w:p>
    <w:p w14:paraId="63679EA0">
      <w:pPr>
        <w:spacing w:before="0" w:after="120" w:line="324" w:lineRule="auto"/>
        <w:ind w:firstLine="403"/>
      </w:pPr>
      <w:r>
        <w:rPr>
          <w:rFonts w:ascii="宋体" w:hAnsi="宋体" w:eastAsia="宋体"/>
          <w:b w:val="0"/>
          <w:sz w:val="24"/>
        </w:rPr>
        <w:t>AI 解读用于辅助经营分析，不直接替代业务判断。用户在使用分析结论时，应结合真实订单、活动节奏、库存和渠道情况进行复核。</w:t>
      </w:r>
    </w:p>
    <w:p w14:paraId="490876CA">
      <w:pPr>
        <w:pStyle w:val="4"/>
        <w:spacing w:before="120" w:after="120" w:line="288" w:lineRule="auto"/>
      </w:pPr>
      <w:bookmarkStart w:id="28" w:name="_Toc376218473"/>
      <w:r>
        <w:rPr>
          <w:rFonts w:ascii="黑体" w:hAnsi="黑体" w:eastAsia="黑体"/>
          <w:b/>
          <w:color w:val="2F65A0"/>
          <w:sz w:val="28"/>
        </w:rPr>
        <w:t>9.2 报表截图导出</w:t>
      </w:r>
      <w:bookmarkEnd w:id="28"/>
    </w:p>
    <w:p w14:paraId="3195BF65">
      <w:pPr>
        <w:spacing w:before="0" w:after="80" w:line="324" w:lineRule="auto"/>
        <w:ind w:left="403" w:hanging="403"/>
      </w:pPr>
      <w:r>
        <w:rPr>
          <w:rFonts w:ascii="宋体" w:hAnsi="宋体" w:eastAsia="宋体"/>
          <w:sz w:val="24"/>
        </w:rPr>
        <w:t>1. 确认当前筛选条件和图表数据已加载完成。</w:t>
      </w:r>
    </w:p>
    <w:p w14:paraId="54CEEF1B">
      <w:pPr>
        <w:spacing w:before="0" w:after="80" w:line="324" w:lineRule="auto"/>
        <w:ind w:left="403" w:hanging="403"/>
      </w:pPr>
      <w:r>
        <w:rPr>
          <w:rFonts w:ascii="宋体" w:hAnsi="宋体" w:eastAsia="宋体"/>
          <w:sz w:val="24"/>
        </w:rPr>
        <w:t>2. 点击导出或截图按钮。</w:t>
      </w:r>
    </w:p>
    <w:p w14:paraId="0545C766">
      <w:pPr>
        <w:spacing w:before="0" w:after="80" w:line="324" w:lineRule="auto"/>
        <w:ind w:left="403" w:hanging="403"/>
      </w:pPr>
      <w:r>
        <w:rPr>
          <w:rFonts w:ascii="宋体" w:hAnsi="宋体" w:eastAsia="宋体"/>
          <w:sz w:val="24"/>
        </w:rPr>
        <w:t>3. 系统通过 html2canvas 将当前报表区域转换为图片。</w:t>
      </w:r>
    </w:p>
    <w:p w14:paraId="019D25C1">
      <w:pPr>
        <w:spacing w:before="0" w:after="80" w:line="324" w:lineRule="auto"/>
        <w:ind w:left="403" w:hanging="403"/>
      </w:pPr>
      <w:r>
        <w:rPr>
          <w:rFonts w:ascii="宋体" w:hAnsi="宋体" w:eastAsia="宋体"/>
          <w:sz w:val="24"/>
        </w:rPr>
        <w:t>4. 下载生成的图片，用于日报、周报、经营会议或归档。</w:t>
      </w:r>
    </w:p>
    <w:p w14:paraId="3CE31978">
      <w:pPr>
        <w:spacing w:before="0" w:after="80" w:line="324" w:lineRule="auto"/>
      </w:pPr>
      <w:r>
        <w:rPr>
          <w:rFonts w:ascii="宋体" w:hAnsi="宋体" w:eastAsia="宋体"/>
          <w:b w:val="0"/>
          <w:sz w:val="24"/>
        </w:rPr>
        <w:t>截图位置说明：下图为销售数据大屏导出的长图报表示例，包含核心指标、趋势图、对比图和明细区域。</w:t>
      </w:r>
    </w:p>
    <w:p w14:paraId="3A2767C1">
      <w:pPr>
        <w:spacing w:before="80" w:after="40" w:line="240" w:lineRule="auto"/>
        <w:jc w:val="center"/>
      </w:pPr>
      <w:bookmarkStart w:id="39" w:name="_GoBack"/>
      <w:r>
        <w:drawing>
          <wp:inline distT="0" distB="0" distL="114300" distR="114300">
            <wp:extent cx="6379845" cy="16943070"/>
            <wp:effectExtent l="0" t="0" r="20955" b="2413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5"/>
                    <a:stretch>
                      <a:fillRect/>
                    </a:stretch>
                  </pic:blipFill>
                  <pic:spPr>
                    <a:xfrm>
                      <a:off x="0" y="0"/>
                      <a:ext cx="6379845" cy="16943070"/>
                    </a:xfrm>
                    <a:prstGeom prst="rect">
                      <a:avLst/>
                    </a:prstGeom>
                    <a:noFill/>
                    <a:ln>
                      <a:noFill/>
                    </a:ln>
                  </pic:spPr>
                </pic:pic>
              </a:graphicData>
            </a:graphic>
          </wp:inline>
        </w:drawing>
      </w:r>
      <w:bookmarkEnd w:id="39"/>
    </w:p>
    <w:p w14:paraId="5261619F">
      <w:pPr>
        <w:spacing w:before="0" w:after="160" w:line="240" w:lineRule="auto"/>
        <w:jc w:val="center"/>
      </w:pPr>
      <w:r>
        <w:rPr>
          <w:rFonts w:ascii="宋体" w:hAnsi="宋体" w:eastAsia="宋体"/>
          <w:color w:val="505050"/>
          <w:sz w:val="20"/>
        </w:rPr>
        <w:t>图 9-1 每日报告导出长图示例</w:t>
      </w:r>
    </w:p>
    <w:p w14:paraId="5BA6093D">
      <w:pPr>
        <w:pStyle w:val="3"/>
        <w:spacing w:before="200" w:after="160" w:line="288" w:lineRule="auto"/>
      </w:pPr>
      <w:bookmarkStart w:id="29" w:name="_Toc912018943"/>
      <w:r>
        <w:rPr>
          <w:rFonts w:ascii="黑体" w:hAnsi="黑体" w:eastAsia="黑体"/>
          <w:b/>
          <w:color w:val="2F65A0"/>
          <w:sz w:val="32"/>
        </w:rPr>
        <w:t>10 异常处理与常见问题</w:t>
      </w:r>
      <w:bookmarkEnd w:id="29"/>
    </w:p>
    <w:p w14:paraId="2107A85A">
      <w:pPr>
        <w:pStyle w:val="4"/>
        <w:spacing w:before="120" w:after="120" w:line="288" w:lineRule="auto"/>
      </w:pPr>
      <w:bookmarkStart w:id="30" w:name="_Toc1711586362"/>
      <w:r>
        <w:rPr>
          <w:rFonts w:ascii="黑体" w:hAnsi="黑体" w:eastAsia="黑体"/>
          <w:b/>
          <w:color w:val="2F65A0"/>
          <w:sz w:val="28"/>
        </w:rPr>
        <w:t>10.1 异常处理</w:t>
      </w:r>
      <w:bookmarkEnd w:id="30"/>
    </w:p>
    <w:p w14:paraId="6EC94908">
      <w:pPr>
        <w:spacing w:before="0" w:after="80" w:line="324" w:lineRule="auto"/>
        <w:ind w:left="504" w:hanging="259"/>
      </w:pPr>
      <w:r>
        <w:rPr>
          <w:rFonts w:ascii="宋体" w:hAnsi="宋体" w:eastAsia="宋体"/>
          <w:sz w:val="24"/>
        </w:rPr>
        <w:t>• 页面无数据：检查日期、月份、事业部和币种筛选条件，并确认对应 ADS 表已有数据。</w:t>
      </w:r>
    </w:p>
    <w:p w14:paraId="0E7C92C3">
      <w:pPr>
        <w:spacing w:before="0" w:after="80" w:line="324" w:lineRule="auto"/>
        <w:ind w:left="504" w:hanging="259"/>
      </w:pPr>
      <w:r>
        <w:rPr>
          <w:rFonts w:ascii="宋体" w:hAnsi="宋体" w:eastAsia="宋体"/>
          <w:sz w:val="24"/>
        </w:rPr>
        <w:t>• 图表未刷新：检查浏览器网络请求、后端接口返回和前端控制台提示。</w:t>
      </w:r>
    </w:p>
    <w:p w14:paraId="0CCD9BF3">
      <w:pPr>
        <w:spacing w:before="0" w:after="80" w:line="324" w:lineRule="auto"/>
        <w:ind w:left="504" w:hanging="259"/>
      </w:pPr>
      <w:r>
        <w:rPr>
          <w:rFonts w:ascii="宋体" w:hAnsi="宋体" w:eastAsia="宋体"/>
          <w:sz w:val="24"/>
        </w:rPr>
        <w:t>• 金额口径不一致：确认当前币种、汇率日期和原币/人民币字段是否匹配。</w:t>
      </w:r>
    </w:p>
    <w:p w14:paraId="1997F145">
      <w:pPr>
        <w:spacing w:before="0" w:after="80" w:line="324" w:lineRule="auto"/>
        <w:ind w:left="504" w:hanging="259"/>
      </w:pPr>
      <w:r>
        <w:rPr>
          <w:rFonts w:ascii="宋体" w:hAnsi="宋体" w:eastAsia="宋体"/>
          <w:sz w:val="24"/>
        </w:rPr>
        <w:t>• AI 解读中断：检查 SSE 接口代理、网络连接和后端 AI 服务状态。</w:t>
      </w:r>
    </w:p>
    <w:p w14:paraId="295A935A">
      <w:pPr>
        <w:spacing w:before="0" w:after="80" w:line="324" w:lineRule="auto"/>
        <w:ind w:left="504" w:hanging="259"/>
      </w:pPr>
      <w:r>
        <w:rPr>
          <w:rFonts w:ascii="宋体" w:hAnsi="宋体" w:eastAsia="宋体"/>
          <w:sz w:val="24"/>
        </w:rPr>
        <w:t>• 导出图片不完整：等待所有图表渲染完成后再导出，必要时刷新页面重试。</w:t>
      </w:r>
    </w:p>
    <w:p w14:paraId="61A44CD1">
      <w:pPr>
        <w:pStyle w:val="4"/>
        <w:spacing w:before="120" w:after="120" w:line="288" w:lineRule="auto"/>
      </w:pPr>
      <w:bookmarkStart w:id="31" w:name="_Toc1088534569"/>
      <w:r>
        <w:rPr>
          <w:rFonts w:ascii="黑体" w:hAnsi="黑体" w:eastAsia="黑体"/>
          <w:b/>
          <w:color w:val="2F65A0"/>
          <w:sz w:val="28"/>
        </w:rPr>
        <w:t>10.2 常见问题</w:t>
      </w:r>
      <w:bookmarkEnd w:id="31"/>
    </w:p>
    <w:p w14:paraId="77CCCAC7">
      <w:pPr>
        <w:spacing w:before="0" w:after="40" w:line="324" w:lineRule="auto"/>
      </w:pPr>
      <w:r>
        <w:rPr>
          <w:rFonts w:ascii="宋体" w:hAnsi="宋体" w:eastAsia="宋体"/>
          <w:b/>
          <w:sz w:val="24"/>
        </w:rPr>
        <w:t>Q1：为什么进入大屏后部分指标为空？</w:t>
      </w:r>
    </w:p>
    <w:p w14:paraId="6465259D">
      <w:pPr>
        <w:spacing w:before="0" w:after="100" w:line="324" w:lineRule="auto"/>
      </w:pPr>
      <w:r>
        <w:rPr>
          <w:rFonts w:ascii="宋体" w:hAnsi="宋体" w:eastAsia="宋体"/>
          <w:b w:val="0"/>
          <w:sz w:val="24"/>
        </w:rPr>
        <w:t>A1：通常是筛选日期没有对应数据、Doris ADS 表调度未完成或后端查询条件未命中。可先切换到已有数据日期，再检查调度任务和 ADS 表分区。</w:t>
      </w:r>
    </w:p>
    <w:p w14:paraId="34616937">
      <w:pPr>
        <w:spacing w:before="0" w:after="40" w:line="324" w:lineRule="auto"/>
      </w:pPr>
      <w:r>
        <w:rPr>
          <w:rFonts w:ascii="宋体" w:hAnsi="宋体" w:eastAsia="宋体"/>
          <w:b/>
          <w:sz w:val="24"/>
        </w:rPr>
        <w:t>Q2：切换币种后金额为什么变化？</w:t>
      </w:r>
    </w:p>
    <w:p w14:paraId="6BA3A8C9">
      <w:pPr>
        <w:spacing w:before="0" w:after="100" w:line="324" w:lineRule="auto"/>
      </w:pPr>
      <w:r>
        <w:rPr>
          <w:rFonts w:ascii="宋体" w:hAnsi="宋体" w:eastAsia="宋体"/>
          <w:b w:val="0"/>
          <w:sz w:val="24"/>
        </w:rPr>
        <w:t>A2：系统会根据汇率服务换算人民币或美元口径。跨项目、跨事业部比较时建议统一币种后再分析。</w:t>
      </w:r>
    </w:p>
    <w:p w14:paraId="7BBEFF59">
      <w:pPr>
        <w:spacing w:before="0" w:after="40" w:line="324" w:lineRule="auto"/>
      </w:pPr>
      <w:r>
        <w:rPr>
          <w:rFonts w:ascii="宋体" w:hAnsi="宋体" w:eastAsia="宋体"/>
          <w:b/>
          <w:sz w:val="24"/>
        </w:rPr>
        <w:t>Q3：目标完成率偏低如何排查？</w:t>
      </w:r>
    </w:p>
    <w:p w14:paraId="5F5C323B">
      <w:pPr>
        <w:spacing w:before="0" w:after="100" w:line="324" w:lineRule="auto"/>
      </w:pPr>
      <w:r>
        <w:rPr>
          <w:rFonts w:ascii="宋体" w:hAnsi="宋体" w:eastAsia="宋体"/>
          <w:b w:val="0"/>
          <w:sz w:val="24"/>
        </w:rPr>
        <w:t>A3：先确认目标金额是否维护正确，再查看实际销售额、累计销售额和月度趋势，判断是目标配置问题还是业务销售不足。</w:t>
      </w:r>
    </w:p>
    <w:p w14:paraId="672317A2">
      <w:pPr>
        <w:spacing w:before="0" w:after="40" w:line="324" w:lineRule="auto"/>
      </w:pPr>
      <w:r>
        <w:rPr>
          <w:rFonts w:ascii="宋体" w:hAnsi="宋体" w:eastAsia="宋体"/>
          <w:b/>
          <w:sz w:val="24"/>
        </w:rPr>
        <w:t>Q4：导出的报表图片可以用于会议吗？</w:t>
      </w:r>
    </w:p>
    <w:p w14:paraId="5E55C0D1">
      <w:pPr>
        <w:spacing w:before="0" w:after="100" w:line="324" w:lineRule="auto"/>
      </w:pPr>
      <w:r>
        <w:rPr>
          <w:rFonts w:ascii="宋体" w:hAnsi="宋体" w:eastAsia="宋体"/>
          <w:b w:val="0"/>
          <w:sz w:val="24"/>
        </w:rPr>
        <w:t>A4：可以。导出图片会保留当前筛选条件下的大屏内容，适合放入日报、周报和经营复盘材料。</w:t>
      </w:r>
    </w:p>
    <w:p w14:paraId="39A42683">
      <w:pPr>
        <w:spacing w:before="0" w:after="40" w:line="324" w:lineRule="auto"/>
      </w:pPr>
      <w:r>
        <w:rPr>
          <w:rFonts w:ascii="宋体" w:hAnsi="宋体" w:eastAsia="宋体"/>
          <w:b/>
          <w:sz w:val="24"/>
        </w:rPr>
        <w:t>Q5：新增指标时需要改哪些地方？</w:t>
      </w:r>
    </w:p>
    <w:p w14:paraId="326B0703">
      <w:pPr>
        <w:spacing w:before="0" w:after="100" w:line="324" w:lineRule="auto"/>
      </w:pPr>
      <w:r>
        <w:rPr>
          <w:rFonts w:ascii="宋体" w:hAnsi="宋体" w:eastAsia="宋体"/>
          <w:b w:val="0"/>
          <w:sz w:val="24"/>
        </w:rPr>
        <w:t>A5：通常需要同步调整 Doris ADS 表、后端 DTO/服务查询、前端 API 和页面组件，避免接口字段与底表字段口径不一致。</w:t>
      </w:r>
    </w:p>
    <w:p w14:paraId="064BA436">
      <w:pPr>
        <w:pStyle w:val="4"/>
        <w:spacing w:before="160" w:after="120" w:line="288" w:lineRule="auto"/>
      </w:pPr>
      <w:bookmarkStart w:id="32" w:name="_Toc587312390"/>
      <w:r>
        <w:rPr>
          <w:rFonts w:ascii="黑体" w:hAnsi="黑体" w:eastAsia="黑体"/>
          <w:b/>
          <w:color w:val="2F65A0"/>
          <w:sz w:val="28"/>
        </w:rPr>
        <w:t>10.3 操作前检查清单</w:t>
      </w:r>
      <w:bookmarkEnd w:id="32"/>
    </w:p>
    <w:p w14:paraId="44706924">
      <w:pPr>
        <w:spacing w:before="0" w:after="120" w:line="324" w:lineRule="auto"/>
        <w:ind w:firstLine="403"/>
      </w:pPr>
      <w:r>
        <w:rPr>
          <w:rFonts w:ascii="宋体" w:hAnsi="宋体" w:eastAsia="宋体"/>
          <w:sz w:val="24"/>
        </w:rPr>
        <w:t>为减少经营会议或日报导出时的数据偏差，用户在正式使用大屏前可按以下清单进行快速检查。检查内容主要覆盖数据日期、筛选条件、图表渲染、目标数据和导出结果，适用于每日晨会、月度复盘和临时经营分析场景。</w:t>
      </w:r>
    </w:p>
    <w:p w14:paraId="3E41D1FD">
      <w:pPr>
        <w:spacing w:before="0" w:after="80" w:line="324" w:lineRule="auto"/>
        <w:ind w:left="504" w:hanging="259"/>
      </w:pPr>
      <w:r>
        <w:rPr>
          <w:rFonts w:ascii="宋体" w:hAnsi="宋体" w:eastAsia="宋体"/>
          <w:sz w:val="24"/>
        </w:rPr>
        <w:t>• 确认当前日期、月份、年份和事业部筛选条件与分析主题一致。</w:t>
      </w:r>
    </w:p>
    <w:p w14:paraId="53108198">
      <w:pPr>
        <w:spacing w:before="0" w:after="80" w:line="324" w:lineRule="auto"/>
        <w:ind w:left="504" w:hanging="259"/>
      </w:pPr>
      <w:r>
        <w:rPr>
          <w:rFonts w:ascii="宋体" w:hAnsi="宋体" w:eastAsia="宋体"/>
          <w:sz w:val="24"/>
        </w:rPr>
        <w:t>• 确认核心指标、趋势图、事业部列表和目标完成页面均已加载完成。</w:t>
      </w:r>
    </w:p>
    <w:p w14:paraId="7F1E0574">
      <w:pPr>
        <w:spacing w:before="0" w:after="80" w:line="324" w:lineRule="auto"/>
        <w:ind w:left="504" w:hanging="259"/>
      </w:pPr>
      <w:r>
        <w:rPr>
          <w:rFonts w:ascii="宋体" w:hAnsi="宋体" w:eastAsia="宋体"/>
          <w:sz w:val="24"/>
        </w:rPr>
        <w:t>• 确认金额币种和单位口径一致，避免人民币口径与原币口径混用。</w:t>
      </w:r>
    </w:p>
    <w:p w14:paraId="14C3982E">
      <w:pPr>
        <w:spacing w:before="0" w:after="80" w:line="324" w:lineRule="auto"/>
        <w:ind w:left="504" w:hanging="259"/>
      </w:pPr>
      <w:r>
        <w:rPr>
          <w:rFonts w:ascii="宋体" w:hAnsi="宋体" w:eastAsia="宋体"/>
          <w:sz w:val="24"/>
        </w:rPr>
        <w:t>• 确认 AI 解读使用的是当前筛选后的数据，必要时重新触发分析。</w:t>
      </w:r>
    </w:p>
    <w:p w14:paraId="6710A948">
      <w:pPr>
        <w:spacing w:before="0" w:after="80" w:line="324" w:lineRule="auto"/>
        <w:ind w:left="504" w:hanging="259"/>
      </w:pPr>
      <w:r>
        <w:rPr>
          <w:rFonts w:ascii="宋体" w:hAnsi="宋体" w:eastAsia="宋体"/>
          <w:sz w:val="24"/>
        </w:rPr>
        <w:t>• 导出报表前先等待图表动画结束，并检查导出图片是否包含完整标题、图表和明细。</w:t>
      </w:r>
    </w:p>
    <w:p w14:paraId="03D6ED1D">
      <w:pPr>
        <w:pStyle w:val="4"/>
        <w:spacing w:before="160" w:after="120" w:line="288" w:lineRule="auto"/>
      </w:pPr>
      <w:bookmarkStart w:id="33" w:name="_Toc1124497118"/>
      <w:r>
        <w:rPr>
          <w:rFonts w:ascii="黑体" w:hAnsi="黑体" w:eastAsia="黑体"/>
          <w:b/>
          <w:color w:val="2F65A0"/>
          <w:sz w:val="28"/>
        </w:rPr>
        <w:t>10.4 日常使用流程建议</w:t>
      </w:r>
      <w:bookmarkEnd w:id="33"/>
    </w:p>
    <w:p w14:paraId="7500EEC2">
      <w:pPr>
        <w:spacing w:before="0" w:after="120" w:line="324" w:lineRule="auto"/>
        <w:ind w:firstLine="403"/>
      </w:pPr>
      <w:r>
        <w:rPr>
          <w:rFonts w:ascii="宋体" w:hAnsi="宋体" w:eastAsia="宋体"/>
          <w:sz w:val="24"/>
        </w:rPr>
        <w:t>日常使用时，建议先查看首页核心指标，再进入事业部总揽和趋势分析定位变化原因；如发现目标完成率不足，可继续进入目标完成页面核对目标金额、实际金额和累计完成情况；最后结合 AI 智能解读生成经营摘要，并将当前页面导出为图片用于归档。</w:t>
      </w:r>
    </w:p>
    <w:p w14:paraId="62DDF9E0">
      <w:pPr>
        <w:pStyle w:val="3"/>
        <w:spacing w:before="200" w:after="160" w:line="288" w:lineRule="auto"/>
      </w:pPr>
      <w:bookmarkStart w:id="34" w:name="_Toc1566968626"/>
      <w:r>
        <w:rPr>
          <w:rFonts w:ascii="黑体" w:hAnsi="黑体" w:eastAsia="黑体"/>
          <w:b/>
          <w:color w:val="2F65A0"/>
          <w:sz w:val="32"/>
        </w:rPr>
        <w:t>11 附录：接口与表清单</w:t>
      </w:r>
      <w:bookmarkEnd w:id="34"/>
    </w:p>
    <w:p w14:paraId="0442995B">
      <w:pPr>
        <w:pStyle w:val="4"/>
        <w:spacing w:before="120" w:after="120" w:line="288" w:lineRule="auto"/>
      </w:pPr>
      <w:bookmarkStart w:id="35" w:name="_Toc1449734021"/>
      <w:r>
        <w:rPr>
          <w:rFonts w:ascii="黑体" w:hAnsi="黑体" w:eastAsia="黑体"/>
          <w:b/>
          <w:color w:val="2F65A0"/>
          <w:sz w:val="28"/>
        </w:rPr>
        <w:t>11.1 主要接口</w:t>
      </w:r>
      <w:bookmarkEnd w:id="35"/>
    </w:p>
    <w:p w14:paraId="36673D1D">
      <w:pPr>
        <w:spacing w:before="0" w:after="80" w:line="324" w:lineRule="auto"/>
        <w:ind w:left="504" w:hanging="259"/>
      </w:pPr>
      <w:r>
        <w:rPr>
          <w:rFonts w:ascii="宋体" w:hAnsi="宋体" w:eastAsia="宋体"/>
          <w:sz w:val="24"/>
        </w:rPr>
        <w:t>• /report/core-metrics：查询核心指标卡片数据。</w:t>
      </w:r>
    </w:p>
    <w:p w14:paraId="2356401E">
      <w:pPr>
        <w:spacing w:before="0" w:after="80" w:line="324" w:lineRule="auto"/>
        <w:ind w:left="504" w:hanging="259"/>
      </w:pPr>
      <w:r>
        <w:rPr>
          <w:rFonts w:ascii="宋体" w:hAnsi="宋体" w:eastAsia="宋体"/>
          <w:sz w:val="24"/>
        </w:rPr>
        <w:t>• /report/department-overview：查询事业部销售汇总列表。</w:t>
      </w:r>
    </w:p>
    <w:p w14:paraId="037EED7D">
      <w:pPr>
        <w:spacing w:before="0" w:after="80" w:line="324" w:lineRule="auto"/>
        <w:ind w:left="504" w:hanging="259"/>
      </w:pPr>
      <w:r>
        <w:rPr>
          <w:rFonts w:ascii="宋体" w:hAnsi="宋体" w:eastAsia="宋体"/>
          <w:sz w:val="24"/>
        </w:rPr>
        <w:t>• /report/month-trend：查询月度销售趋势。</w:t>
      </w:r>
    </w:p>
    <w:p w14:paraId="3D16568E">
      <w:pPr>
        <w:spacing w:before="0" w:after="80" w:line="324" w:lineRule="auto"/>
        <w:ind w:left="504" w:hanging="259"/>
      </w:pPr>
      <w:r>
        <w:rPr>
          <w:rFonts w:ascii="宋体" w:hAnsi="宋体" w:eastAsia="宋体"/>
          <w:sz w:val="24"/>
        </w:rPr>
        <w:t>• /report/daily-trend：查询日度销售趋势。</w:t>
      </w:r>
    </w:p>
    <w:p w14:paraId="72B0732C">
      <w:pPr>
        <w:spacing w:before="0" w:after="80" w:line="324" w:lineRule="auto"/>
        <w:ind w:left="504" w:hanging="259"/>
      </w:pPr>
      <w:r>
        <w:rPr>
          <w:rFonts w:ascii="宋体" w:hAnsi="宋体" w:eastAsia="宋体"/>
          <w:sz w:val="24"/>
        </w:rPr>
        <w:t>• /report/year-comparison：查询年度对比数据。</w:t>
      </w:r>
    </w:p>
    <w:p w14:paraId="786530A9">
      <w:pPr>
        <w:spacing w:before="0" w:after="80" w:line="324" w:lineRule="auto"/>
        <w:ind w:left="504" w:hanging="259"/>
      </w:pPr>
      <w:r>
        <w:rPr>
          <w:rFonts w:ascii="宋体" w:hAnsi="宋体" w:eastAsia="宋体"/>
          <w:sz w:val="24"/>
        </w:rPr>
        <w:t>• /report/department-comparison：查询事业部横向对比数据。</w:t>
      </w:r>
    </w:p>
    <w:p w14:paraId="4838D51A">
      <w:pPr>
        <w:spacing w:before="0" w:after="80" w:line="324" w:lineRule="auto"/>
        <w:ind w:left="504" w:hanging="259"/>
      </w:pPr>
      <w:r>
        <w:rPr>
          <w:rFonts w:ascii="宋体" w:hAnsi="宋体" w:eastAsia="宋体"/>
          <w:sz w:val="24"/>
        </w:rPr>
        <w:t>• /report/dashboard：查询大屏整合数据。</w:t>
      </w:r>
    </w:p>
    <w:p w14:paraId="02B94028">
      <w:pPr>
        <w:spacing w:before="0" w:after="80" w:line="324" w:lineRule="auto"/>
        <w:ind w:left="504" w:hanging="259"/>
      </w:pPr>
      <w:r>
        <w:rPr>
          <w:rFonts w:ascii="宋体" w:hAnsi="宋体" w:eastAsia="宋体"/>
          <w:sz w:val="24"/>
        </w:rPr>
        <w:t>• /target/list：查询销售目标列表。</w:t>
      </w:r>
    </w:p>
    <w:p w14:paraId="588DF90D">
      <w:pPr>
        <w:spacing w:before="0" w:after="80" w:line="324" w:lineRule="auto"/>
        <w:ind w:left="504" w:hanging="259"/>
      </w:pPr>
      <w:r>
        <w:rPr>
          <w:rFonts w:ascii="宋体" w:hAnsi="宋体" w:eastAsia="宋体"/>
          <w:sz w:val="24"/>
        </w:rPr>
        <w:t>• /target/monthly-summary：查询月度目标汇总。</w:t>
      </w:r>
    </w:p>
    <w:p w14:paraId="11AEFC48">
      <w:pPr>
        <w:pStyle w:val="4"/>
        <w:spacing w:before="120" w:after="120" w:line="288" w:lineRule="auto"/>
      </w:pPr>
      <w:bookmarkStart w:id="36" w:name="_Toc330232085"/>
      <w:r>
        <w:rPr>
          <w:rFonts w:ascii="黑体" w:hAnsi="黑体" w:eastAsia="黑体"/>
          <w:b/>
          <w:color w:val="2F65A0"/>
          <w:sz w:val="28"/>
        </w:rPr>
        <w:t>11.2 主要数据表</w:t>
      </w:r>
      <w:bookmarkEnd w:id="36"/>
    </w:p>
    <w:p w14:paraId="5DF36C4D">
      <w:pPr>
        <w:spacing w:before="0" w:after="80" w:line="324" w:lineRule="auto"/>
        <w:ind w:left="504" w:hanging="259"/>
      </w:pPr>
      <w:r>
        <w:rPr>
          <w:rFonts w:ascii="宋体" w:hAnsi="宋体" w:eastAsia="宋体"/>
          <w:sz w:val="24"/>
        </w:rPr>
        <w:t>• ads_sales_overview_market_1d：公司整体销售核心指标日汇总。</w:t>
      </w:r>
    </w:p>
    <w:p w14:paraId="7E20309C">
      <w:pPr>
        <w:spacing w:before="0" w:after="80" w:line="324" w:lineRule="auto"/>
        <w:ind w:left="504" w:hanging="259"/>
      </w:pPr>
      <w:r>
        <w:rPr>
          <w:rFonts w:ascii="宋体" w:hAnsi="宋体" w:eastAsia="宋体"/>
          <w:sz w:val="24"/>
        </w:rPr>
        <w:t>• ads_sales_department_market_1d：事业部销售指标日汇总。</w:t>
      </w:r>
    </w:p>
    <w:p w14:paraId="294434F3">
      <w:pPr>
        <w:spacing w:before="0" w:after="80" w:line="324" w:lineRule="auto"/>
        <w:ind w:left="504" w:hanging="259"/>
      </w:pPr>
      <w:r>
        <w:rPr>
          <w:rFonts w:ascii="宋体" w:hAnsi="宋体" w:eastAsia="宋体"/>
          <w:sz w:val="24"/>
        </w:rPr>
        <w:t>• ads_sales_target_completion_market_1d：销售目标完成情况日汇总。</w:t>
      </w:r>
    </w:p>
    <w:p w14:paraId="1F51A111">
      <w:pPr>
        <w:spacing w:before="0" w:after="80" w:line="324" w:lineRule="auto"/>
        <w:ind w:left="504" w:hanging="259"/>
      </w:pPr>
      <w:r>
        <w:rPr>
          <w:rFonts w:ascii="宋体" w:hAnsi="宋体" w:eastAsia="宋体"/>
          <w:sz w:val="24"/>
        </w:rPr>
        <w:t>• ads_sales_trend_market_1d：销售趋势日粒度结果。</w:t>
      </w:r>
    </w:p>
    <w:p w14:paraId="49824B87">
      <w:pPr>
        <w:spacing w:before="0" w:after="80" w:line="324" w:lineRule="auto"/>
        <w:ind w:left="504" w:hanging="259"/>
      </w:pPr>
      <w:r>
        <w:rPr>
          <w:rFonts w:ascii="宋体" w:hAnsi="宋体" w:eastAsia="宋体"/>
          <w:sz w:val="24"/>
        </w:rPr>
        <w:t>• ads_sales_trend_market_1m：销售趋势月粒度结果。</w:t>
      </w:r>
    </w:p>
    <w:p w14:paraId="2260A89C">
      <w:pPr>
        <w:pStyle w:val="4"/>
        <w:spacing w:before="120" w:after="120" w:line="288" w:lineRule="auto"/>
      </w:pPr>
      <w:bookmarkStart w:id="37" w:name="_Toc1112908747"/>
      <w:r>
        <w:rPr>
          <w:rFonts w:ascii="黑体" w:hAnsi="黑体" w:eastAsia="黑体"/>
          <w:b/>
          <w:color w:val="2F65A0"/>
          <w:sz w:val="28"/>
        </w:rPr>
        <w:t>11.3 使用注意事项</w:t>
      </w:r>
      <w:bookmarkEnd w:id="37"/>
    </w:p>
    <w:p w14:paraId="3CE63CA3">
      <w:pPr>
        <w:spacing w:before="0" w:after="120" w:line="324" w:lineRule="auto"/>
        <w:ind w:firstLine="403"/>
      </w:pPr>
      <w:r>
        <w:rPr>
          <w:rFonts w:ascii="宋体" w:hAnsi="宋体" w:eastAsia="宋体"/>
          <w:b w:val="0"/>
          <w:sz w:val="24"/>
        </w:rPr>
        <w:t>使用前需确保 Doris ADS 表已完成调度加工，后端服务可连接 Doris，前端接口代理配置正确。若调整数据仓库字段或接口字段，应同步更新后端 DTO、前端 API、图表组件和用户手册说明。接口文档中的请求参数、返回参数采用驼峰命名；底层数仓表字段仍采用小写加下划线命名，两套口径不可混用。</w:t>
      </w:r>
    </w:p>
    <w:p w14:paraId="502F2FBC">
      <w:pPr>
        <w:pStyle w:val="4"/>
        <w:spacing w:before="160" w:after="120" w:line="288" w:lineRule="auto"/>
      </w:pPr>
      <w:bookmarkStart w:id="38" w:name="_Toc74745459"/>
      <w:r>
        <w:rPr>
          <w:rFonts w:ascii="黑体" w:hAnsi="黑体" w:eastAsia="黑体"/>
          <w:b/>
          <w:color w:val="2F65A0"/>
          <w:sz w:val="28"/>
        </w:rPr>
        <w:t>11.4 数据维护与版本升级建议</w:t>
      </w:r>
      <w:bookmarkEnd w:id="38"/>
    </w:p>
    <w:p w14:paraId="2554E2F8">
      <w:pPr>
        <w:spacing w:before="0" w:after="120" w:line="324" w:lineRule="auto"/>
        <w:ind w:firstLine="403"/>
      </w:pPr>
      <w:r>
        <w:rPr>
          <w:rFonts w:ascii="宋体" w:hAnsi="宋体" w:eastAsia="宋体"/>
          <w:b w:val="0"/>
          <w:sz w:val="24"/>
        </w:rPr>
        <w:t>为保证销售数据大屏长期稳定运行，系统维护人员应建立数据调度、接口变更、前端发布和用户手册更新的配套流程。每日经营数据展示依赖 Doris ADS 表的加工结果，若 DolphinScheduler 调度失败或上游 MySQL 数据延迟，前端页面可能出现指标为空、趋势断点或目标完成率异常等情况。维护人员应优先检查调度实例、ADS 表分区、insert_time 字段和后端查询日志。</w:t>
      </w:r>
    </w:p>
    <w:p w14:paraId="1F2A2F50">
      <w:pPr>
        <w:spacing w:before="0" w:after="80" w:line="324" w:lineRule="auto"/>
        <w:ind w:left="504" w:hanging="259"/>
      </w:pPr>
      <w:r>
        <w:rPr>
          <w:rFonts w:ascii="宋体" w:hAnsi="宋体" w:eastAsia="宋体"/>
          <w:sz w:val="24"/>
        </w:rPr>
        <w:t>• 数据调度维护：关注销售主题 SQL 的执行状态，确认日粒度和月粒度表均按计划生成。</w:t>
      </w:r>
    </w:p>
    <w:p w14:paraId="0FF63D40">
      <w:pPr>
        <w:spacing w:before="0" w:after="80" w:line="324" w:lineRule="auto"/>
        <w:ind w:left="504" w:hanging="259"/>
      </w:pPr>
      <w:r>
        <w:rPr>
          <w:rFonts w:ascii="宋体" w:hAnsi="宋体" w:eastAsia="宋体"/>
          <w:sz w:val="24"/>
        </w:rPr>
        <w:t>• 接口变更维护：新增请求参数或返回字段时，同步更新 Java DTO/VO、接口文档和前端 API 调用。</w:t>
      </w:r>
    </w:p>
    <w:p w14:paraId="499F4210">
      <w:pPr>
        <w:spacing w:before="0" w:after="80" w:line="324" w:lineRule="auto"/>
        <w:ind w:left="504" w:hanging="259"/>
      </w:pPr>
      <w:r>
        <w:rPr>
          <w:rFonts w:ascii="宋体" w:hAnsi="宋体" w:eastAsia="宋体"/>
          <w:sz w:val="24"/>
        </w:rPr>
        <w:t>• 前端组件维护：新增图表或指标卡时，保持字段命名、单位、币种和空值展示规则一致。</w:t>
      </w:r>
    </w:p>
    <w:p w14:paraId="44F3FC6F">
      <w:pPr>
        <w:spacing w:before="0" w:after="80" w:line="324" w:lineRule="auto"/>
        <w:ind w:left="504" w:hanging="259"/>
      </w:pPr>
      <w:r>
        <w:rPr>
          <w:rFonts w:ascii="宋体" w:hAnsi="宋体" w:eastAsia="宋体"/>
          <w:sz w:val="24"/>
        </w:rPr>
        <w:t>• 目标数据维护：销售目标、事业部、项目和汇率数据变更后，应核对目标完成页面与大屏首页展示结果。</w:t>
      </w:r>
    </w:p>
    <w:p w14:paraId="59CAD75F">
      <w:pPr>
        <w:spacing w:before="0" w:after="80" w:line="324" w:lineRule="auto"/>
        <w:ind w:left="504" w:hanging="259"/>
      </w:pPr>
      <w:r>
        <w:rPr>
          <w:rFonts w:ascii="宋体" w:hAnsi="宋体" w:eastAsia="宋体"/>
          <w:sz w:val="24"/>
        </w:rPr>
        <w:t>• 版本发布维护：发布前完成接口联调、浏览器兼容性检查、导出图片检查和 AI 解读可用性检查。</w:t>
      </w:r>
    </w:p>
    <w:p w14:paraId="7C88EAEB">
      <w:pPr>
        <w:spacing w:before="0" w:after="120" w:line="324" w:lineRule="auto"/>
        <w:ind w:firstLine="403"/>
      </w:pPr>
      <w:r>
        <w:rPr>
          <w:rFonts w:ascii="宋体" w:hAnsi="宋体" w:eastAsia="宋体"/>
          <w:b w:val="0"/>
          <w:sz w:val="24"/>
        </w:rPr>
        <w:t>当业务新增指标、调整事业部口径或扩展项目维度时，应先明确底层数仓字段与接口字段的映射关系，再同步修改 ADS 表、后端查询、前端展示和用户手册说明。对于已经用于经营会议或日报归档的截图，应保留生成日期、筛选条件和版本信息，便于后续追溯。</w:t>
      </w:r>
    </w:p>
    <w:sectPr>
      <w:pgSz w:w="11909" w:h="16834"/>
      <w:pgMar w:top="1037" w:right="907" w:bottom="1037"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FD70E2"/>
    <w:rsid w:val="5EEFE18A"/>
    <w:rsid w:val="7DBB9236"/>
    <w:rsid w:val="FBDA3FD8"/>
    <w:rsid w:val="FBF77969"/>
    <w:rsid w:val="FDF272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F65A0"/>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F65A0"/>
      <w:sz w:val="28"/>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自朗活</cp:lastModifiedBy>
  <dcterms:modified xsi:type="dcterms:W3CDTF">2026-07-07T16:12:16Z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5B4C7951D9835587F0F6396A866BE287_42</vt:lpwstr>
  </property>
</Properties>
</file>