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SimHei" w:hAnsi="SimHei" w:eastAsia="SimHei"/>
          <w:b/>
          <w:sz w:val="48"/>
        </w:rPr>
        <w:t>麻生跨境店铺智能化商品数据报表系统</w:t>
      </w:r>
    </w:p>
    <w:p/>
    <w:p/>
    <w:p>
      <w:pPr>
        <w:jc w:val="center"/>
      </w:pPr>
      <w:r>
        <w:rPr>
          <w:rFonts w:ascii="SimHei" w:hAnsi="SimHei" w:eastAsia="SimHei"/>
          <w:b/>
          <w:sz w:val="44"/>
        </w:rPr>
        <w:t>用户手册</w:t>
      </w:r>
    </w:p>
    <w:p/>
    <w:p/>
    <w:p/>
    <w:p/>
    <w:p/>
    <w:p/>
    <w:p/>
    <w:p/>
    <w:p/>
    <w:p/>
    <w:p>
      <w:pPr>
        <w:jc w:val="center"/>
      </w:pPr>
      <w:r>
        <w:rPr>
          <w:rFonts w:ascii="SimSun" w:hAnsi="SimSun" w:eastAsia="宋体"/>
          <w:b w:val="0"/>
          <w:sz w:val="24"/>
        </w:rPr>
        <w:t>版本：V1.0.0</w:t>
      </w:r>
    </w:p>
    <w:p>
      <w:pPr>
        <w:jc w:val="center"/>
      </w:pPr>
      <w:r>
        <w:rPr>
          <w:rFonts w:ascii="SimSun" w:hAnsi="SimSun" w:eastAsia="宋体"/>
          <w:b w:val="0"/>
          <w:sz w:val="24"/>
        </w:rPr>
        <w:t>权利人：麻生环球科技有限公司</w:t>
      </w:r>
    </w:p>
    <w:p>
      <w:r>
        <w:br w:type="page"/>
      </w:r>
    </w:p>
    <w:p>
      <w:pPr>
        <w:pStyle w:val="Heading1"/>
      </w:pPr>
      <w:r>
        <w:t>目录</w:t>
      </w:r>
    </w:p>
    <w:p>
      <w:r>
        <w:rPr>
          <w:rFonts w:ascii="SimSun" w:hAnsi="SimSun" w:eastAsia="宋体"/>
          <w:b w:val="0"/>
          <w:sz w:val="21"/>
        </w:rPr>
        <w:t>1 系统概述 3</w:t>
      </w:r>
    </w:p>
    <w:p>
      <w:r>
        <w:rPr>
          <w:rFonts w:ascii="SimSun" w:hAnsi="SimSun" w:eastAsia="宋体"/>
          <w:b w:val="0"/>
          <w:sz w:val="21"/>
        </w:rPr>
        <w:t>1.1 软件主要功能 3</w:t>
      </w:r>
    </w:p>
    <w:p>
      <w:r>
        <w:rPr>
          <w:rFonts w:ascii="SimSun" w:hAnsi="SimSun" w:eastAsia="宋体"/>
          <w:b w:val="0"/>
          <w:sz w:val="21"/>
        </w:rPr>
        <w:t>1.2 适用场景 3</w:t>
      </w:r>
    </w:p>
    <w:p>
      <w:r>
        <w:rPr>
          <w:rFonts w:ascii="SimSun" w:hAnsi="SimSun" w:eastAsia="宋体"/>
          <w:b w:val="0"/>
          <w:sz w:val="21"/>
        </w:rPr>
        <w:t>2 运行环境 4</w:t>
      </w:r>
    </w:p>
    <w:p>
      <w:r>
        <w:rPr>
          <w:rFonts w:ascii="SimSun" w:hAnsi="SimSun" w:eastAsia="宋体"/>
          <w:b w:val="0"/>
          <w:sz w:val="21"/>
        </w:rPr>
        <w:t>2.1 后端与数据环境 4</w:t>
      </w:r>
    </w:p>
    <w:p>
      <w:r>
        <w:rPr>
          <w:rFonts w:ascii="SimSun" w:hAnsi="SimSun" w:eastAsia="宋体"/>
          <w:b w:val="0"/>
          <w:sz w:val="21"/>
        </w:rPr>
        <w:t>2.2 前端与浏览器环境 4</w:t>
      </w:r>
    </w:p>
    <w:p>
      <w:r>
        <w:rPr>
          <w:rFonts w:ascii="SimSun" w:hAnsi="SimSun" w:eastAsia="宋体"/>
          <w:b w:val="0"/>
          <w:sz w:val="21"/>
        </w:rPr>
        <w:t>3 总体架构与数据流转 4</w:t>
      </w:r>
    </w:p>
    <w:p>
      <w:r>
        <w:rPr>
          <w:rFonts w:ascii="SimSun" w:hAnsi="SimSun" w:eastAsia="宋体"/>
          <w:b w:val="0"/>
          <w:sz w:val="21"/>
        </w:rPr>
        <w:t>3.1 数仓加工链路 4</w:t>
      </w:r>
    </w:p>
    <w:p>
      <w:r>
        <w:rPr>
          <w:rFonts w:ascii="SimSun" w:hAnsi="SimSun" w:eastAsia="宋体"/>
          <w:b w:val="0"/>
          <w:sz w:val="21"/>
        </w:rPr>
        <w:t>3.2 后端服务链路 4</w:t>
      </w:r>
    </w:p>
    <w:p>
      <w:r>
        <w:rPr>
          <w:rFonts w:ascii="SimSun" w:hAnsi="SimSun" w:eastAsia="宋体"/>
          <w:b w:val="0"/>
          <w:sz w:val="21"/>
        </w:rPr>
        <w:t>3.3 前端展示链路 5</w:t>
      </w:r>
    </w:p>
    <w:p>
      <w:r>
        <w:rPr>
          <w:rFonts w:ascii="SimSun" w:hAnsi="SimSun" w:eastAsia="宋体"/>
          <w:b w:val="0"/>
          <w:sz w:val="21"/>
        </w:rPr>
        <w:t>3.4 数据口径说明 5</w:t>
      </w:r>
    </w:p>
    <w:p>
      <w:r>
        <w:rPr>
          <w:rFonts w:ascii="SimSun" w:hAnsi="SimSun" w:eastAsia="宋体"/>
          <w:b w:val="0"/>
          <w:sz w:val="21"/>
        </w:rPr>
        <w:t>4 登录、首页与筛选操作 5</w:t>
      </w:r>
    </w:p>
    <w:p>
      <w:r>
        <w:rPr>
          <w:rFonts w:ascii="SimSun" w:hAnsi="SimSun" w:eastAsia="宋体"/>
          <w:b w:val="0"/>
          <w:sz w:val="21"/>
        </w:rPr>
        <w:t>4.1 查询与筛选流程 5</w:t>
      </w:r>
    </w:p>
    <w:p>
      <w:r>
        <w:rPr>
          <w:rFonts w:ascii="SimSun" w:hAnsi="SimSun" w:eastAsia="宋体"/>
          <w:b w:val="0"/>
          <w:sz w:val="21"/>
        </w:rPr>
        <w:t>4.2 导出前确认 6</w:t>
      </w:r>
    </w:p>
    <w:p>
      <w:r>
        <w:rPr>
          <w:rFonts w:ascii="SimSun" w:hAnsi="SimSun" w:eastAsia="宋体"/>
          <w:b w:val="0"/>
          <w:sz w:val="21"/>
        </w:rPr>
        <w:t>5 商品统计报表 6</w:t>
      </w:r>
    </w:p>
    <w:p>
      <w:r>
        <w:rPr>
          <w:rFonts w:ascii="SimSun" w:hAnsi="SimSun" w:eastAsia="宋体"/>
          <w:b w:val="0"/>
          <w:sz w:val="21"/>
        </w:rPr>
        <w:t>5.1 商品分析流程 7</w:t>
      </w:r>
    </w:p>
    <w:p>
      <w:r>
        <w:rPr>
          <w:rFonts w:ascii="SimSun" w:hAnsi="SimSun" w:eastAsia="宋体"/>
          <w:b w:val="0"/>
          <w:sz w:val="21"/>
        </w:rPr>
        <w:t>6 店铺统计报表 8</w:t>
      </w:r>
    </w:p>
    <w:p>
      <w:r>
        <w:rPr>
          <w:rFonts w:ascii="SimSun" w:hAnsi="SimSun" w:eastAsia="宋体"/>
          <w:b w:val="0"/>
          <w:sz w:val="21"/>
        </w:rPr>
        <w:t>6.1 店铺复盘流程 9</w:t>
      </w:r>
    </w:p>
    <w:p>
      <w:r>
        <w:rPr>
          <w:rFonts w:ascii="SimSun" w:hAnsi="SimSun" w:eastAsia="宋体"/>
          <w:b w:val="0"/>
          <w:sz w:val="21"/>
        </w:rPr>
        <w:t>7 PID 与 SPU 数据看板 9</w:t>
      </w:r>
    </w:p>
    <w:p>
      <w:r>
        <w:rPr>
          <w:rFonts w:ascii="SimSun" w:hAnsi="SimSun" w:eastAsia="宋体"/>
          <w:b w:val="0"/>
          <w:sz w:val="21"/>
        </w:rPr>
        <w:t>7.1 主推商品分析流程 10</w:t>
      </w:r>
    </w:p>
    <w:p>
      <w:r>
        <w:rPr>
          <w:rFonts w:ascii="SimSun" w:hAnsi="SimSun" w:eastAsia="宋体"/>
          <w:b w:val="0"/>
          <w:sz w:val="21"/>
        </w:rPr>
        <w:t>8 主推 SPU 维护与数据导入 10</w:t>
      </w:r>
    </w:p>
    <w:p>
      <w:r>
        <w:rPr>
          <w:rFonts w:ascii="SimSun" w:hAnsi="SimSun" w:eastAsia="宋体"/>
          <w:b w:val="0"/>
          <w:sz w:val="21"/>
        </w:rPr>
        <w:t>9 库存数据看板 11</w:t>
      </w:r>
    </w:p>
    <w:p>
      <w:r>
        <w:rPr>
          <w:rFonts w:ascii="SimSun" w:hAnsi="SimSun" w:eastAsia="宋体"/>
          <w:b w:val="0"/>
          <w:sz w:val="21"/>
        </w:rPr>
        <w:t>9.1 库存风险处理流程 13</w:t>
      </w:r>
    </w:p>
    <w:p>
      <w:r>
        <w:rPr>
          <w:rFonts w:ascii="SimSun" w:hAnsi="SimSun" w:eastAsia="宋体"/>
          <w:b w:val="0"/>
          <w:sz w:val="21"/>
        </w:rPr>
        <w:t>10 AI 智能解读与报表导出 13</w:t>
      </w:r>
    </w:p>
    <w:p>
      <w:r>
        <w:rPr>
          <w:rFonts w:ascii="SimSun" w:hAnsi="SimSun" w:eastAsia="宋体"/>
          <w:b w:val="0"/>
          <w:sz w:val="21"/>
        </w:rPr>
        <w:t>11 异常处理与常见问题 14</w:t>
      </w:r>
    </w:p>
    <w:p>
      <w:r>
        <w:rPr>
          <w:rFonts w:ascii="SimSun" w:hAnsi="SimSun" w:eastAsia="宋体"/>
          <w:b w:val="0"/>
          <w:sz w:val="21"/>
        </w:rPr>
        <w:t>12 附录：接口与数据表 15</w:t>
      </w:r>
    </w:p>
    <w:p>
      <w:pPr>
        <w:pStyle w:val="Heading1"/>
      </w:pPr>
      <w:r>
        <w:t>1 系统概述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麻生跨境店铺智能化商品数据报表系统面向 TikTok 等跨境店铺商品经营分析场景，围绕店铺、PID、SPU、SKU、商品表现、订单销售、活动视频和库存同步等数据，构建从数据仓库到后端接口再到前端报表页面的一体化应用。系统以 Doris 数仓 ADS 层报表为基础，结合 Java Spring Boot 后端接口和 Vue 前端页面，为运营人员提供统一、可追溯、可导出的商品经营分析入口。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本系统主要解决跨境店铺商品数据来源分散、PID 与 SPU 关系维护困难、库存同步异常不易发现、商品和店铺经营变化依赖人工整理等问题。运营人员可在同一界面查看商品统计、店铺统计、PID 看板、库存看板、数据导入结果和 AI 分析结论，从而提升日报、复盘和经营会议准备效率。</w:t>
      </w:r>
    </w:p>
    <w:p>
      <w:pPr>
        <w:pStyle w:val="Heading2"/>
      </w:pPr>
      <w:r>
        <w:t>1.1 软件主要功能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商品统计报表：按店铺、市场、PID、SPU 和商品维度查看销量、GMV、订单量、转化表现和同比环比变化。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店铺统计报表：按市场、店铺和本地支付时间聚合店铺经营数据，支持横向对比不同店铺增长情况。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PID 与 SPU 看板：展示 PID 明细、SPU 明细、主推 SPU 映射、缺失映射同步和经营分析结果。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库存数据看板：展示总库存、海外在库、在途、国内库存、FBT 库存、同步异常和超卖风险。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导入与推送：支持商品列表、商品全模块分析、活动、视频表现、TK 账号等数据导入，并支持 Excel、图片和企业消息推送。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各功能模块以 PID、SPU、SKU、店铺、市场和统计日期为核心关联键，形成从商品经营到库存风险的连续分析链路。用户在商品统计中发现销量波动后，可继续下钻到 PID/SPU 看板分析推广贡献，并结合库存看板确认备货与同步状态。</w:t>
      </w:r>
    </w:p>
    <w:p>
      <w:pPr>
        <w:pStyle w:val="Heading2"/>
      </w:pPr>
      <w:r>
        <w:t>1.2 适用场景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系统适用于跨境电商商品运营、店铺经营复盘、库存协同、主推商品维护、数据导入核对、经营日报生成和会议室报表展示等场景。对于需要同时观察商品、店铺、PID、SPU、SKU 和库存风险的用户，系统能够提供统一视图和稳定的数据口径。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运营负责人：查看市场、店铺和商品经营表现，识别增长机会和异常波动。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商品运营人员：维护 PID 与主推 SPU 关系，分析重点商品的销售贡献。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库存协同人员：跟踪库存同步差异、超卖风险和 SKU/SPU 库存结构。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数据维护人员：关注 Doris ADS 表、导入批次、接口响应和同步任务状态。</w:t>
      </w:r>
    </w:p>
    <w:p>
      <w:pPr>
        <w:pStyle w:val="Heading1"/>
      </w:pPr>
      <w:r>
        <w:t>2 运行环境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本系统采用前后端分离架构运行，后端服务部署在 Linux 服务器或同等环境中，前端页面运行于现代浏览器。数据层依赖 Doris 和 MySQL，调度链路由 DolphinScheduler 组织执行，部分数据来自 TikTok、积加 API、运营导入文件及内部业务库。</w:t>
      </w:r>
    </w:p>
    <w:p>
      <w:pPr>
        <w:pStyle w:val="Heading2"/>
      </w:pPr>
      <w:r>
        <w:t>2.1 后端与数据环境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后端运行环境：Java 8、Spring Boot 应用服务，建议部署在稳定网络环境下。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数据仓库环境：Doris 承接商品、店铺、PID、库存等主题 ADS 报表结果。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业务源与调度：MySQL 保存配置、映射和导入批次，DolphinScheduler 负责定时触发数据加工链路。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运行依赖：数据库连接、接口访问凭证、消息推送配置、日志与异常监控配置。</w:t>
      </w:r>
    </w:p>
    <w:p>
      <w:pPr>
        <w:pStyle w:val="Heading2"/>
      </w:pPr>
      <w:r>
        <w:t>2.2 前端与浏览器环境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前端技术：Vue 页面、表格组件、弹窗组件、导出工具和状态管理模块。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浏览器要求：Chrome、Edge 或其他现代浏览器，建议分辨率 1366×768 及以上。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网络要求：浏览器需能够访问后端 API 地址，并保证 AI 分析和图片导出接口不被代理中断。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展示环境：可在普通工作台、会议室大屏或投屏环境中使用，支持筛选、明细查看和导出。</w:t>
      </w:r>
    </w:p>
    <w:p>
      <w:pPr>
        <w:pStyle w:val="Heading1"/>
      </w:pPr>
      <w:r>
        <w:t>3 总体架构与数据流转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系统采用“数据仓库层、后端服务层、前端展示层”三层协同架构。数据仓库负责将商品、订单、店铺、PID、SPU、SKU、活动、视频和库存数据统一加工；后端服务根据前端条件组织查询、导入、导出和推送；前端页面将接口数据渲染为筛选区、指标说明、明细表格、弹窗和操作按钮。</w:t>
      </w:r>
    </w:p>
    <w:p>
      <w:pPr>
        <w:pStyle w:val="Heading2"/>
      </w:pPr>
      <w:r>
        <w:t>3.1 数仓加工链路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Doris ADS 层通过 ads_sales_pid_dashboard_1d、ads_sales_store_market_1d 等表承接最终查询结果。调度任务按业务日期、市场、店铺、PID、SPU 等口径对上游数据进行清洗、匹配和聚合，形成报表可直接读取的数据集。</w:t>
      </w:r>
    </w:p>
    <w:p>
      <w:pPr>
        <w:pStyle w:val="Heading2"/>
      </w:pPr>
      <w:r>
        <w:t>3.2 后端服务链路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后端接口集中在 tkdashboard 模块，包括 TkPidController、TkProductStatsController、TkStoreStatsController、TkImportController 和 TkImportHistoryController 等。服务提供数据最新时间、报表查询、明细导出、AI 分析、图片生成、主推 SPU 映射维护和导入历史查询能力。</w:t>
      </w:r>
    </w:p>
    <w:p>
      <w:pPr>
        <w:pStyle w:val="Heading2"/>
      </w:pPr>
      <w:r>
        <w:t>3.3 前端展示链路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前端页面主要包括 pid-board、shop-board 和 stock-board 等模块。用户在页面筛选日期、市场、店铺、PID、SPU、SKU 等条件后，前端调用后端接口获取结果，并通过表格、汇总卡片、说明弹窗和导出按钮完成业务操作。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前端报表支持多条件联动筛选、表格固定列、分页查看、排序、导出状态提示和弹窗详情展示。页面在查询前会保留用户当前筛选条件，在导出、AI 分析或推送时沿用同一条件，确保屏幕展示结果与下载结果保持一致。</w:t>
      </w:r>
    </w:p>
    <w:p>
      <w:pPr>
        <w:pStyle w:val="Heading2"/>
      </w:pPr>
      <w:r>
        <w:t>3.4 数据口径说明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系统涉及跨市场经营数据，统计口径以页面说明弹窗和接口返回字段为准。日期维度通常按本地支付时间或业务统计日期汇总，金额类指标需关注币种和换算口径，库存类指标需关注同步时间、店铺库存、海外在库、在途和国内库存之间的差异。</w:t>
      </w:r>
    </w:p>
    <w:p>
      <w:pPr>
        <w:pStyle w:val="Heading1"/>
      </w:pPr>
      <w:r>
        <w:t>4 登录、首页与筛选操作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用户通过统一后台入口登录系统。进入报表页面后，应先确认当前账号权限、数据更新时间和默认筛选条件。常用筛选项包括统计日期、市场、店铺、PID、SPU、SKU、商品名称、库存状态和异常状态。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选择统计日期或日期范围，确认是否需要按日、周、月或自定义区间查看。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选择市场、店铺、PID 或商品关键字，点击查询按钮刷新页面数据。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查看页面展示的数据最新时间，确认报表数据是否已完成同步。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对需要解释的指标，可打开说明弹窗查看统计口径和字段含义。</w:t>
      </w:r>
    </w:p>
    <w:p>
      <w:pPr>
        <w:pStyle w:val="Heading2"/>
      </w:pPr>
      <w:r>
        <w:t>4.1 查询与筛选流程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首次进入页面时，系统会加载默认日期和可用筛选项。用户应先根据分析目标选择日期范围，再选择市场、店铺、PID、SPU 或 SKU 等条件。若需要查看全局趋势，可只保留日期和市场条件；若需要定位单个商品问题，则应逐步收窄到 PID、SPU 或 SKU 维度。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查询完成后，用户应先查看页面顶部的数据最新时间和汇总指标，再进入明细表格进行排序、分页和下钻。对于跨店铺、跨市场的分析，建议固定一个主筛选条件后逐项切换对比，避免一次选择过多条件导致结果难以解释。</w:t>
      </w:r>
    </w:p>
    <w:p>
      <w:pPr>
        <w:pStyle w:val="Heading2"/>
      </w:pPr>
      <w:r>
        <w:t>4.2 导出前确认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导出 Excel、图片或触发推送前，应确认当前筛选条件、统计日期、数据最新时间、币种口径和指标说明均符合本次使用场景。用于正式会议或外部归档的文件，建议在文件名中保留统计日期、市场和店铺范围，便于后续追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08000" cy="27040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2857_3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704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b w:val="0"/>
          <w:i/>
          <w:sz w:val="18"/>
        </w:rPr>
        <w:t>图 1 商品统计入口与筛选区域示意</w:t>
      </w:r>
    </w:p>
    <w:p>
      <w:pPr>
        <w:pStyle w:val="Heading1"/>
      </w:pPr>
      <w:r>
        <w:t>5 商品统计报表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商品统计报表用于查看跨境店铺商品在不同统计口径下的销量、销售额、订单数、转化表现和同比环比变化。用户可按店铺、市场、PID、SPU、商品名称等条件筛选数据，并在店铺明细与 PID 明细之间切换。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页面通常由筛选区、数据最新时间提示、汇总指标、明细表格、指标说明、AI 分析和导出按钮组成。运营人员可先通过顶部条件缩小分析范围，再通过表格排序定位异常商品，最后结合导出结果形成复盘材料。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进入商品统计页面，选择统计日期、市场、店铺或商品关键字。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点击查询按钮，系统加载商品指标和明细列表。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根据销售额、订单数、转化率、GMV 等字段排序，定位重点商品。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如需复盘，可导出 Excel、导出图片或打开 AI 分析生成结论草稿。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08000" cy="26146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2913_95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614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b w:val="0"/>
          <w:i/>
          <w:sz w:val="18"/>
        </w:rPr>
        <w:t>图 2 商品统计明细表格示意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08000" cy="2681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2932_50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681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b w:val="0"/>
          <w:i/>
          <w:sz w:val="18"/>
        </w:rPr>
        <w:t>图 3 商品统计多维指标示意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分析商品数据时，应重点核对统计日期、活动期间、视频或达人推广、店铺库存状态和商品上下架状态。若某一商品出现销量突然下降，可结合 PID 维度、SPU 明细和库存看板判断是流量变化、映射缺失、库存不足还是平台接口同步延迟。</w:t>
      </w:r>
    </w:p>
    <w:p>
      <w:pPr>
        <w:pStyle w:val="Heading2"/>
      </w:pPr>
      <w:r>
        <w:t>5.1 商品分析流程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商品分析建议按照“先总体、再异常、后下钻”的顺序进行。用户先查看当前市场或店铺的整体商品表现，再按照销售额、订单量、转化率或增长率排序，筛选出排名靠前、下降明显或库存风险较高的商品，最后进入 PID/SPU 维度确认对应的推广、活动和库存状态。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当商品指标出现异常时，可记录商品名称、SPU、SKU、PID、店铺、统计日期和异常字段，并与导入批次、活动视频数据、库存同步时间共同核对。若需要形成复盘结论，可使用 AI 分析生成初稿，再由运营人员补充业务背景和处理建议。</w:t>
      </w:r>
    </w:p>
    <w:p>
      <w:pPr>
        <w:pStyle w:val="Heading1"/>
      </w:pPr>
      <w:r>
        <w:t>6 店铺统计报表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店铺统计报表聚合展示各市场、各店铺的经营表现，支持按本地支付时间、店铺所属市场和业务组织查看订单、GMV、商品数及趋势变化，便于运营负责人横向比较店铺状态。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该模块适合在每日晨会、周经营复盘和市场专项分析中使用。用户可先查看各店铺的整体销售规模，再按照市场、店铺或商品贡献排序，判断增长来自重点商品突破、店铺活动投放，还是单个异常订单造成的短期波动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在筛选区选择日期、市场、店铺和排序条件。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查看店铺维度指标表，重点关注销售额、订单量、客单价、商品贡献等字段。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结合说明弹窗确认统计口径，避免跨市场时区和支付时间口径混用。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必要时导出报表，用于晨会、周会或专项复盘。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08000" cy="27388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2948_72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738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b w:val="0"/>
          <w:i/>
          <w:sz w:val="18"/>
        </w:rPr>
        <w:t>图 4 店铺统计报表界面示意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跨市场查看店铺数据时，应优先确认支付时间口径和数据最新时间。若同一日期在不同市场出现同步时间差异，建议等待调度完成后再导出正式报表，避免会议材料与后续系统查询结果不一致。</w:t>
      </w:r>
    </w:p>
    <w:p>
      <w:pPr>
        <w:pStyle w:val="Heading2"/>
      </w:pPr>
      <w:r>
        <w:t>6.1 店铺复盘流程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店铺复盘可从销售规模、订单数量、客单价、商品贡献和异常波动五个角度展开。运营负责人可以先按市场筛选店铺，再比较同一市场内不同店铺的销售结构；也可以按店铺筛选后观察不同日期的变化趋势，判断增长是否具有连续性。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若某店铺数据明显高于或低于同组店铺，应结合商品统计查看贡献商品是否集中，结合库存看板确认是否存在缺货或超卖风险，并结合活动或视频表现判断流量来源是否发生变化。对于需要长期跟踪的店铺，可定期导出结果形成周报或月报。</w:t>
      </w:r>
    </w:p>
    <w:p>
      <w:pPr>
        <w:pStyle w:val="Heading1"/>
      </w:pPr>
      <w:r>
        <w:t>7 PID 与 SPU 数据看板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PID 数据看板围绕推广或商品标识建立分析视图，展示 PID 在不同店铺、市场和商品维度下的销售贡献、增长变化、主推商品匹配情况和异常波动。SPU 明细用于从商品标准化维度继续下钻，便于分析重点商品组合。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PID 与 SPU 看板主要服务于推广复盘、主推商品跟踪和商品组合分析。运营人员可通过 PID 查看某类推广或商品集合的总体表现，再进入 SPU 维度识别贡献最高、增长最快或需要补充映射的商品。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进入 PID 看板，选择统计日期和目标 PID。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在汇总区查看整体销售表现，在明细区下钻到店铺、SPU 或商品维度。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切换 PID 明细、SPU 看板和 SPU 明细，比较不同商品组合的贡献。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点击分析按钮生成经营分析，结合系统返回的指标说明判断推广或备货调整方向。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08000" cy="251970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3001_0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519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b w:val="0"/>
          <w:i/>
          <w:sz w:val="18"/>
        </w:rPr>
        <w:t>图 5 PID 数据看板汇总示意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08000" cy="26408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3020_87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64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b w:val="0"/>
          <w:i/>
          <w:sz w:val="18"/>
        </w:rPr>
        <w:t>图 6 PID/SPU 明细表格示意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使用本模块时，应注意 PID、主推 SPU、商品 SPU 和店铺商品之间的映射关系。若筛选条件中同时包含 PID 与 SPU，系统展示的是交集结果；若未维护主推 SPU，相关指标可能无法完整归集到业务希望观察的商品组。</w:t>
      </w:r>
    </w:p>
    <w:p>
      <w:pPr>
        <w:pStyle w:val="Heading2"/>
      </w:pPr>
      <w:r>
        <w:t>7.1 主推商品分析流程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主推商品分析应先确认 PID 对应的业务含义和当前维护的主推 SPU，再查看 SPU 明细中的销售额、订单量、商品数量和变化趋势。对于主推 SPU 缺失或贡献异常的情况，应先补充映射关系，再重新查询报表，确保分析结论基于完整数据。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在推广复盘中，用户可将 PID 看板结果与商品统计、活动数据、视频表现和库存数据交叉验证。若推广带来流量但销量未提升，应关注转化率、价格、库存和店铺商品状态；若销量提升但库存不足，应及时同步给库存协同人员进行补货或同步处理。</w:t>
      </w:r>
    </w:p>
    <w:p>
      <w:pPr>
        <w:pStyle w:val="Heading1"/>
      </w:pPr>
      <w:r>
        <w:t>8 主推 SPU 维护与数据导入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系统支持从 PID 下钻到 SPU 明细，并提供主推 SPU 映射维护。运营人员可将 PID 与重点商品建立关系，用于后续商品排名、缺失同步、分析推送和异常监控。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在 PID 看板中打开主推 SPU 维护窗口。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按 PID、SPU 或商品名称查询现有映射记录。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新增或修改主推 SPU 后保存，系统将校验必填项并更新映射关系。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数据导入模块支持商品列表、商品全模块分析、活动、视频表现、达人联盟视频和 TK 账号等数据。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导入完成后可在历史记录中查看批次、处理状态、成功数量、失败数量和失败原因。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08000" cy="2729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3032_14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729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b w:val="0"/>
          <w:i/>
          <w:sz w:val="18"/>
        </w:rPr>
        <w:t>图 7 主推 SPU 维护窗口示意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08000" cy="27211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3046_96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72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b w:val="0"/>
          <w:i/>
          <w:sz w:val="18"/>
        </w:rPr>
        <w:t>图 8 指标说明与弹窗示意</w:t>
      </w:r>
    </w:p>
    <w:p>
      <w:pPr>
        <w:pStyle w:val="Heading1"/>
      </w:pPr>
      <w:r>
        <w:t>9 库存数据看板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库存数据看板汇总展示总库存、海外在库、在途、国内库存、FBT 库存、同步异常和超卖风险等指标。用户可在 SKU 与 SPU 维度之间切换，快速识别库存不一致、店铺应同步未同步和风险商品。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该模块适合在补货会议、商品下架前检查和活动备货评估中使用。用户可以先查看汇总卡片判断整体风险，再通过 SKU/SPU 明细查看具体商品库存结构，并结合店铺维度确认是否需要调整同步或备货策略。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进入库存看板，选择店铺、PID、SPU、SKU、库存状态或异常状态。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查看顶部汇总卡片，判断库存规模、异常数量和风险商品数量。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在明细表格中展开 SKU/SPU 数据，查看国内外库存、同步差异和店铺同步状态。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对异常商品打开详情或说明弹窗，确认处理口径并导出数据。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08000" cy="26479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3101_83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647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b w:val="0"/>
          <w:i/>
          <w:sz w:val="18"/>
        </w:rPr>
        <w:t>图 9 库存数据看板列表示意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08000" cy="27292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3118_06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729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b w:val="0"/>
          <w:i/>
          <w:sz w:val="18"/>
        </w:rPr>
        <w:t>图 10 库存详情与分页示意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08000" cy="274931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3134_49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749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b w:val="0"/>
          <w:i/>
          <w:sz w:val="18"/>
        </w:rPr>
        <w:t>图 11 库存异常处理弹窗示意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库存同步异常通常与接口延迟、商品编码映射缺失、店铺商品状态变化或上游库存文件未及时更新有关。处理时应先核对 SKU/SPU 对应关系，再确认最近一次库存同步时间和异常状态，必要时导出明细交由相关岗位处理。</w:t>
      </w:r>
    </w:p>
    <w:p>
      <w:pPr>
        <w:pStyle w:val="Heading2"/>
      </w:pPr>
      <w:r>
        <w:t>9.1 库存风险处理流程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库存风险处理建议先从汇总卡片判断异常规模，再进入明细表格按风险状态、店铺、SKU 或 SPU 过滤。对于超卖风险，应优先核对店铺可售库存和海外在库；对于同步异常，应确认上游库存文件、平台接口和系统同步任务是否正常。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处理完成后，用户可再次刷新看板确认异常数量是否下降，并将仍未解决的 SKU/SPU 明细导出给相关岗位。对于活动期或主推商品，应建立更高频率的检查机制，避免库存变化滞后影响销售和履约。</w:t>
      </w:r>
    </w:p>
    <w:p>
      <w:pPr>
        <w:pStyle w:val="Heading1"/>
      </w:pPr>
      <w:r>
        <w:t>10 AI 智能解读与报表导出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系统将报表结果、指标口径和业务规则组合为分析输入，支持商品统计、PID 看板和 SPU 看板的 AI 分析输出，并提供表格导出、图片渲染和企业微信或飞书推送能力，减少人工整理日报和截图的工作量。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在报表页完成筛选后点击 AI 分析，等待系统生成文字结论。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选择导出 Excel 或导出图片，系统按当前筛选条件生成结果文件。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对需要同步团队的信息，可通过广播或推送功能发送到指定群组。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导出前应确认筛选条件、统计口径和数据最新时间，避免发送错误范围的数据。</w:t>
      </w:r>
    </w:p>
    <w:p>
      <w:pPr>
        <w:pStyle w:val="Heading1"/>
      </w:pPr>
      <w:r>
        <w:t>11 异常处理与常见问题</w:t>
      </w:r>
    </w:p>
    <w:p>
      <w:pPr>
        <w:pStyle w:val="Heading2"/>
      </w:pPr>
      <w:r>
        <w:t>11.1 异常处理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页面无数据：检查统计日期、店铺、市场、PID、SPU 等筛选条件是否过窄，并确认数据最新时间。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导入失败：检查文件模板、日期格式、字段名称和文件名是否符合系统约定。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库存异常：结合库存说明弹窗、SKU/SPU 维度和同步日志判断是否为接口延迟或匹配缺失。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导出失败：检查浏览器权限、网络连接、导出范围和后端导出接口日志。</w:t>
      </w:r>
    </w:p>
    <w:p>
      <w:pPr>
        <w:pStyle w:val="Heading2"/>
      </w:pPr>
      <w:r>
        <w:t>11.2 常见问题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问题一：页面数据与导出数据不一致怎么办？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处理建议：先确认筛选条件、统计日期、市场时区和数据更新时间是否一致。若导出时间晚于页面查询时间，可能包含新同步的数据。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问题二：为什么部分 PID 没有主推 SPU？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处理建议：通常是新商品或新推广标识尚未维护映射。可在主推 SPU 维护窗口查询并补充，也可触发缺失映射同步。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问题三：AI 分析结果可以直接作为最终结论吗？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处理建议：AI 分析用于辅助定位问题和形成初稿，最终经营动作仍需结合业务人员对商品、市场和活动背景的判断。</w:t>
      </w:r>
    </w:p>
    <w:p>
      <w:pPr>
        <w:pStyle w:val="Heading2"/>
      </w:pPr>
      <w:r>
        <w:t>11.3 操作前检查清单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确认当前账号具备报表查看、导出、导入或维护权限。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确认统计日期、市场、店铺、PID、SPU、SKU 等筛选条件符合本次分析目标。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确认页面数据最新时间，必要时等待调度任务或接口同步完成。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导出或推送前再次核对接收对象和数据范围。</w:t>
      </w:r>
    </w:p>
    <w:p>
      <w:pPr>
        <w:pStyle w:val="Heading2"/>
      </w:pPr>
      <w:r>
        <w:t>11.4 日常使用流程建议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建议运营人员每日先查看店铺统计和商品统计，定位销售变化，再进入 PID/SPU 看板分析推广商品表现，最后进入库存看板确认库存风险。对于需要团队同步的结论，可通过 AI 分析生成初稿，再结合导出图片或 Excel 报表完成分发。</w:t>
      </w:r>
    </w:p>
    <w:p>
      <w:pPr>
        <w:pStyle w:val="Heading1"/>
      </w:pPr>
      <w:r>
        <w:t>12 附录：接口与数据表</w:t>
      </w:r>
    </w:p>
    <w:p>
      <w:pPr>
        <w:pStyle w:val="Heading2"/>
      </w:pPr>
      <w:r>
        <w:t>12.1 主要接口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商品统计：/tk/sales/productStats、/export、/aiAnalysis、/broadcast。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店铺统计：/tk/sales/storeSiteStats、/export、/broadcast。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PID 看板：/tk/pid/dashboard、/detail、/spu/dashboard、/mainSpuMapping。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数据导入：/tk/import/productList、/productCampaign、/videoPerformance、/tkAccount。</w:t>
      </w:r>
    </w:p>
    <w:p>
      <w:pPr>
        <w:pStyle w:val="Heading2"/>
      </w:pPr>
      <w:r>
        <w:t>12.2 主要数据表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ads_sales_pid_dashboard_1d：PID 看板应用层销售与视频指标结果表。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ads_sales_store_market_1d：店铺与市场维度应用层销售结果表。</w:t>
      </w:r>
    </w:p>
    <w:p>
      <w:pPr>
        <w:spacing w:after="80"/>
        <w:ind w:left="360" w:hanging="240"/>
      </w:pPr>
      <w:r>
        <w:rPr>
          <w:rFonts w:ascii="SimSun" w:hAnsi="SimSun" w:eastAsia="宋体"/>
          <w:b w:val="0"/>
          <w:sz w:val="21"/>
        </w:rPr>
        <w:t>• MySQL 配置与映射表：保存导入批次、主推 SPU 映射、同步状态和业务配置。</w:t>
      </w:r>
    </w:p>
    <w:p>
      <w:pPr>
        <w:pStyle w:val="Heading2"/>
      </w:pPr>
      <w:r>
        <w:t>12.3 使用注意事项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跨市场统计涉及本地时间、支付时间、币种和平台接口返回时间，用户应以页面说明弹窗中的口径为准。涉及店铺经营、商品销量、库存和账号数据的导出文件应按照公司权限制度保存和分发，不得发送给无关人员。</w:t>
      </w:r>
    </w:p>
    <w:p>
      <w:pPr>
        <w:pStyle w:val="Heading2"/>
      </w:pPr>
      <w:r>
        <w:t>12.4 数据维护与版本升级建议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系统上线后应定期检查 Doris ADS 表同步任务、后端接口日志、导入模板字段和前端筛选项是否保持一致。新增市场、店铺、PID 规则或库存字段时，应同步更新数据加工脚本、接口返回字段、页面说明弹窗和用户手册，避免业务口径在不同环节出现偏差。</w:t>
      </w:r>
    </w:p>
    <w:p>
      <w:pPr>
        <w:pStyle w:val="Heading2"/>
      </w:pPr>
      <w:r>
        <w:t>12.5 交付与归档建议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  <w:sz w:val="21"/>
        </w:rPr>
        <w:t>软著材料归档时，建议将用户手册、功能特点、源代码文档、截图目录和代码说明文件放在同一项目目录下，并保留生成日期、版本号和权利人信息。正式提交前应检查文档页码、章节标题、图注编号和软件名称是否一致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imSun" w:hAnsi="SimSun" w:eastAsia="宋体"/>
        <w:b w:val="0"/>
        <w:sz w:val="18"/>
      </w:rPr>
      <w:t xml:space="preserve">第 </w:t>
      <w:fldChar w:fldCharType="begin"/>
      <w:instrText xml:space="preserve">PAGE</w:instrText>
      <w:fldChar w:fldCharType="end"/>
    </w:r>
    <w:r>
      <w:rPr>
        <w:rFonts w:ascii="SimSun" w:hAnsi="SimSun" w:eastAsia="宋体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SimSun" w:hAnsi="SimSu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SimHei" w:hAnsi="SimHei" w:eastAsia="黑体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SimHei" w:hAnsi="SimHei" w:eastAsia="黑体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SimHei" w:hAnsi="SimHei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