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541895"/>
    <w:p w14:paraId="095B70FF"/>
    <w:p w14:paraId="0884315B"/>
    <w:p w14:paraId="0E246F9F"/>
    <w:p w14:paraId="405991C3"/>
    <w:p w14:paraId="0DEE4E5E"/>
    <w:p w14:paraId="5AEC5199">
      <w:pPr>
        <w:jc w:val="center"/>
      </w:pPr>
      <w:r>
        <w:rPr>
          <w:rFonts w:ascii="黑体" w:hAnsi="黑体" w:eastAsia="黑体"/>
          <w:b/>
          <w:sz w:val="48"/>
        </w:rPr>
        <w:t>麻生跨境店铺智能化商品数据报表系统</w:t>
      </w:r>
    </w:p>
    <w:p w14:paraId="620A6733"/>
    <w:p w14:paraId="186A7B37"/>
    <w:p w14:paraId="70692503">
      <w:pPr>
        <w:jc w:val="center"/>
      </w:pPr>
      <w:r>
        <w:rPr>
          <w:rFonts w:ascii="黑体" w:hAnsi="黑体" w:eastAsia="黑体"/>
          <w:b/>
          <w:sz w:val="44"/>
        </w:rPr>
        <w:t>用户手册</w:t>
      </w:r>
    </w:p>
    <w:p w14:paraId="65541DDA"/>
    <w:p w14:paraId="01A42E22"/>
    <w:p w14:paraId="6226B330"/>
    <w:p w14:paraId="35F9C2A3"/>
    <w:p w14:paraId="7A9C307A"/>
    <w:p w14:paraId="0AA6A49F"/>
    <w:p w14:paraId="554D922E"/>
    <w:p w14:paraId="5DA7E2A1"/>
    <w:p w14:paraId="7D3E3F82"/>
    <w:p w14:paraId="5FBACDA7"/>
    <w:p w14:paraId="0F3E8CCA">
      <w:pPr>
        <w:jc w:val="center"/>
      </w:pPr>
      <w:r>
        <w:rPr>
          <w:rFonts w:ascii="宋体" w:hAnsi="宋体" w:eastAsia="宋体"/>
          <w:b w:val="0"/>
          <w:sz w:val="24"/>
        </w:rPr>
        <w:t>版本：V1.0.0</w:t>
      </w:r>
    </w:p>
    <w:p w14:paraId="465F6CF1">
      <w:pPr>
        <w:jc w:val="center"/>
      </w:pPr>
      <w:r>
        <w:rPr>
          <w:rFonts w:ascii="宋体" w:hAnsi="宋体" w:eastAsia="宋体"/>
          <w:b w:val="0"/>
          <w:sz w:val="24"/>
        </w:rPr>
        <w:t>权利人：麻生环球科技有限公司</w:t>
      </w:r>
    </w:p>
    <w:p w14:paraId="3E5B755F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61901748"/>
        <w15:color w:val="DBDBDB"/>
        <w:docPartObj>
          <w:docPartGallery w:val="Table of Contents"/>
          <w:docPartUnique/>
        </w:docPartObj>
      </w:sdtPr>
      <w:sdtContent>
        <w:p w14:paraId="405B436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A17B726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_Toc414025522 </w:instrText>
          </w:r>
          <w:r>
            <w:fldChar w:fldCharType="separate"/>
          </w:r>
          <w:r>
            <w:t>1 系统概述</w:t>
          </w:r>
          <w:r>
            <w:tab/>
          </w:r>
          <w:r>
            <w:fldChar w:fldCharType="begin"/>
          </w:r>
          <w:r>
            <w:instrText xml:space="preserve"> PAGEREF _Toc414025522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A5230B6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_Toc679931974 </w:instrText>
          </w:r>
          <w:r>
            <w:fldChar w:fldCharType="separate"/>
          </w:r>
          <w:r>
            <w:t>1.1 软件主要功能</w:t>
          </w:r>
          <w:r>
            <w:tab/>
          </w:r>
          <w:r>
            <w:fldChar w:fldCharType="begin"/>
          </w:r>
          <w:r>
            <w:instrText xml:space="preserve"> PAGEREF _Toc679931974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67558C6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_Toc856201331 </w:instrText>
          </w:r>
          <w:r>
            <w:fldChar w:fldCharType="separate"/>
          </w:r>
          <w:r>
            <w:t>1.2 适用场景</w:t>
          </w:r>
          <w:r>
            <w:tab/>
          </w:r>
          <w:r>
            <w:fldChar w:fldCharType="begin"/>
          </w:r>
          <w:r>
            <w:instrText xml:space="preserve"> PAGEREF _Toc856201331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DA8D0AB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_Toc2035335217 </w:instrText>
          </w:r>
          <w:r>
            <w:fldChar w:fldCharType="separate"/>
          </w:r>
          <w:r>
            <w:t>2 运行环境</w:t>
          </w:r>
          <w:r>
            <w:tab/>
          </w:r>
          <w:r>
            <w:fldChar w:fldCharType="begin"/>
          </w:r>
          <w:r>
            <w:instrText xml:space="preserve"> PAGEREF _Toc2035335217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07966D4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_Toc611979056 </w:instrText>
          </w:r>
          <w:r>
            <w:fldChar w:fldCharType="separate"/>
          </w:r>
          <w:r>
            <w:t>2.1 后端与数据环境</w:t>
          </w:r>
          <w:r>
            <w:tab/>
          </w:r>
          <w:r>
            <w:fldChar w:fldCharType="begin"/>
          </w:r>
          <w:r>
            <w:instrText xml:space="preserve"> PAGEREF _Toc611979056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3DB7D22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_Toc1232808709 </w:instrText>
          </w:r>
          <w:r>
            <w:fldChar w:fldCharType="separate"/>
          </w:r>
          <w:r>
            <w:t>2.2 前端与浏览器环境</w:t>
          </w:r>
          <w:r>
            <w:tab/>
          </w:r>
          <w:r>
            <w:fldChar w:fldCharType="begin"/>
          </w:r>
          <w:r>
            <w:instrText xml:space="preserve"> PAGEREF _Toc1232808709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8E93003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_Toc893745907 </w:instrText>
          </w:r>
          <w:r>
            <w:fldChar w:fldCharType="separate"/>
          </w:r>
          <w:r>
            <w:t>3 总体架构与数据流转</w:t>
          </w:r>
          <w:r>
            <w:tab/>
          </w:r>
          <w:r>
            <w:fldChar w:fldCharType="begin"/>
          </w:r>
          <w:r>
            <w:instrText xml:space="preserve"> PAGEREF _Toc893745907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F0128D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_Toc1686831831 </w:instrText>
          </w:r>
          <w:r>
            <w:fldChar w:fldCharType="separate"/>
          </w:r>
          <w:r>
            <w:t>3.1 数仓加工链路</w:t>
          </w:r>
          <w:r>
            <w:tab/>
          </w:r>
          <w:r>
            <w:fldChar w:fldCharType="begin"/>
          </w:r>
          <w:r>
            <w:instrText xml:space="preserve"> PAGEREF _Toc1686831831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EA29828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_Toc1650959570 </w:instrText>
          </w:r>
          <w:r>
            <w:fldChar w:fldCharType="separate"/>
          </w:r>
          <w:r>
            <w:t>3.2 后端服务链路</w:t>
          </w:r>
          <w:r>
            <w:tab/>
          </w:r>
          <w:r>
            <w:fldChar w:fldCharType="begin"/>
          </w:r>
          <w:r>
            <w:instrText xml:space="preserve"> PAGEREF _Toc1650959570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869A457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_Toc41290103 </w:instrText>
          </w:r>
          <w:r>
            <w:fldChar w:fldCharType="separate"/>
          </w:r>
          <w:r>
            <w:t>3.3 前端展示链路</w:t>
          </w:r>
          <w:r>
            <w:tab/>
          </w:r>
          <w:r>
            <w:fldChar w:fldCharType="begin"/>
          </w:r>
          <w:r>
            <w:instrText xml:space="preserve"> PAGEREF _Toc41290103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B970D20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_Toc325543140 </w:instrText>
          </w:r>
          <w:r>
            <w:fldChar w:fldCharType="separate"/>
          </w:r>
          <w:r>
            <w:t>3.4 数据口径说明</w:t>
          </w:r>
          <w:r>
            <w:tab/>
          </w:r>
          <w:r>
            <w:fldChar w:fldCharType="begin"/>
          </w:r>
          <w:r>
            <w:instrText xml:space="preserve"> PAGEREF _Toc325543140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A4FE4BE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_Toc1762705071 </w:instrText>
          </w:r>
          <w:r>
            <w:fldChar w:fldCharType="separate"/>
          </w:r>
          <w:r>
            <w:t>4 登录、首页与筛选操作</w:t>
          </w:r>
          <w:r>
            <w:tab/>
          </w:r>
          <w:r>
            <w:fldChar w:fldCharType="begin"/>
          </w:r>
          <w:r>
            <w:instrText xml:space="preserve"> PAGEREF _Toc1762705071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0007955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_Toc1247217932 </w:instrText>
          </w:r>
          <w:r>
            <w:fldChar w:fldCharType="separate"/>
          </w:r>
          <w:r>
            <w:t>4.1 查询与筛选流程</w:t>
          </w:r>
          <w:r>
            <w:tab/>
          </w:r>
          <w:r>
            <w:fldChar w:fldCharType="begin"/>
          </w:r>
          <w:r>
            <w:instrText xml:space="preserve"> PAGEREF _Toc1247217932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9DA4EC6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_Toc403904757 </w:instrText>
          </w:r>
          <w:r>
            <w:fldChar w:fldCharType="separate"/>
          </w:r>
          <w:r>
            <w:t>4.2 导出前确认</w:t>
          </w:r>
          <w:r>
            <w:tab/>
          </w:r>
          <w:r>
            <w:fldChar w:fldCharType="begin"/>
          </w:r>
          <w:r>
            <w:instrText xml:space="preserve"> PAGEREF _Toc403904757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220895D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_Toc231442732 </w:instrText>
          </w:r>
          <w:r>
            <w:fldChar w:fldCharType="separate"/>
          </w:r>
          <w:r>
            <w:t>5 商品统计报表</w:t>
          </w:r>
          <w:r>
            <w:tab/>
          </w:r>
          <w:r>
            <w:fldChar w:fldCharType="begin"/>
          </w:r>
          <w:r>
            <w:instrText xml:space="preserve"> PAGEREF _Toc231442732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9B7251C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_Toc765112007 </w:instrText>
          </w:r>
          <w:r>
            <w:fldChar w:fldCharType="separate"/>
          </w:r>
          <w:r>
            <w:t>5.1 商品分析流程</w:t>
          </w:r>
          <w:r>
            <w:tab/>
          </w:r>
          <w:r>
            <w:fldChar w:fldCharType="begin"/>
          </w:r>
          <w:r>
            <w:instrText xml:space="preserve"> PAGEREF _Toc765112007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12317BA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_Toc105423413 </w:instrText>
          </w:r>
          <w:r>
            <w:fldChar w:fldCharType="separate"/>
          </w:r>
          <w:r>
            <w:t>6 店铺统计报表</w:t>
          </w:r>
          <w:r>
            <w:tab/>
          </w:r>
          <w:r>
            <w:fldChar w:fldCharType="begin"/>
          </w:r>
          <w:r>
            <w:instrText xml:space="preserve"> PAGEREF _Toc105423413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5D38F61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_Toc177293516 </w:instrText>
          </w:r>
          <w:r>
            <w:fldChar w:fldCharType="separate"/>
          </w:r>
          <w:r>
            <w:t>6.1 店铺复盘流程</w:t>
          </w:r>
          <w:r>
            <w:tab/>
          </w:r>
          <w:r>
            <w:fldChar w:fldCharType="begin"/>
          </w:r>
          <w:r>
            <w:instrText xml:space="preserve"> PAGEREF _Toc177293516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A5638B6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_Toc1212305023 </w:instrText>
          </w:r>
          <w:r>
            <w:fldChar w:fldCharType="separate"/>
          </w:r>
          <w:r>
            <w:t>7 PID 与 SPU 数据看板</w:t>
          </w:r>
          <w:r>
            <w:tab/>
          </w:r>
          <w:r>
            <w:fldChar w:fldCharType="begin"/>
          </w:r>
          <w:r>
            <w:instrText xml:space="preserve"> PAGEREF _Toc1212305023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E480B87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_Toc2033162472 </w:instrText>
          </w:r>
          <w:r>
            <w:fldChar w:fldCharType="separate"/>
          </w:r>
          <w:r>
            <w:t>7.1 主推商品分析流程</w:t>
          </w:r>
          <w:r>
            <w:tab/>
          </w:r>
          <w:r>
            <w:fldChar w:fldCharType="begin"/>
          </w:r>
          <w:r>
            <w:instrText xml:space="preserve"> PAGEREF _Toc2033162472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FC19BD0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_Toc601875840 </w:instrText>
          </w:r>
          <w:r>
            <w:fldChar w:fldCharType="separate"/>
          </w:r>
          <w:r>
            <w:t>8 主推 SPU 维护与数据导入</w:t>
          </w:r>
          <w:r>
            <w:tab/>
          </w:r>
          <w:r>
            <w:fldChar w:fldCharType="begin"/>
          </w:r>
          <w:r>
            <w:instrText xml:space="preserve"> PAGEREF _Toc601875840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412E42E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_Toc1079265510 </w:instrText>
          </w:r>
          <w:r>
            <w:fldChar w:fldCharType="separate"/>
          </w:r>
          <w:r>
            <w:t>8.1 映射维护流程</w:t>
          </w:r>
          <w:r>
            <w:tab/>
          </w:r>
          <w:r>
            <w:fldChar w:fldCharType="begin"/>
          </w:r>
          <w:r>
            <w:instrText xml:space="preserve"> PAGEREF _Toc1079265510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97B4B81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_Toc1568544008 </w:instrText>
          </w:r>
          <w:r>
            <w:fldChar w:fldCharType="separate"/>
          </w:r>
          <w:r>
            <w:t>8.2 数据导入与历史查询</w:t>
          </w:r>
          <w:r>
            <w:tab/>
          </w:r>
          <w:r>
            <w:fldChar w:fldCharType="begin"/>
          </w:r>
          <w:r>
            <w:instrText xml:space="preserve"> PAGEREF _Toc1568544008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1BEC900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_Toc9891884 </w:instrText>
          </w:r>
          <w:r>
            <w:fldChar w:fldCharType="separate"/>
          </w:r>
          <w:r>
            <w:t>9 AI 智能解读与报表导出</w:t>
          </w:r>
          <w:r>
            <w:tab/>
          </w:r>
          <w:r>
            <w:fldChar w:fldCharType="begin"/>
          </w:r>
          <w:r>
            <w:instrText xml:space="preserve"> PAGEREF _Toc9891884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BBA87A4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_Toc896653569 </w:instrText>
          </w:r>
          <w:r>
            <w:fldChar w:fldCharType="separate"/>
          </w:r>
          <w:r>
            <w:t>10 异常处理与常见问题</w:t>
          </w:r>
          <w:r>
            <w:tab/>
          </w:r>
          <w:r>
            <w:fldChar w:fldCharType="begin"/>
          </w:r>
          <w:r>
            <w:instrText xml:space="preserve"> PAGEREF _Toc896653569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FB3EDD4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_Toc1163783184 </w:instrText>
          </w:r>
          <w:r>
            <w:fldChar w:fldCharType="separate"/>
          </w:r>
          <w:r>
            <w:t>10.1 异常处理</w:t>
          </w:r>
          <w:r>
            <w:tab/>
          </w:r>
          <w:r>
            <w:fldChar w:fldCharType="begin"/>
          </w:r>
          <w:r>
            <w:instrText xml:space="preserve"> PAGEREF _Toc1163783184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9929F21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_Toc422916612 </w:instrText>
          </w:r>
          <w:r>
            <w:fldChar w:fldCharType="separate"/>
          </w:r>
          <w:r>
            <w:t>10.2 常见问题</w:t>
          </w:r>
          <w:r>
            <w:tab/>
          </w:r>
          <w:r>
            <w:fldChar w:fldCharType="begin"/>
          </w:r>
          <w:r>
            <w:instrText xml:space="preserve"> PAGEREF _Toc422916612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18A7787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_Toc1936109961 </w:instrText>
          </w:r>
          <w:r>
            <w:fldChar w:fldCharType="separate"/>
          </w:r>
          <w:r>
            <w:t>10.3 操作前检查清单</w:t>
          </w:r>
          <w:r>
            <w:tab/>
          </w:r>
          <w:r>
            <w:fldChar w:fldCharType="begin"/>
          </w:r>
          <w:r>
            <w:instrText xml:space="preserve"> PAGEREF _Toc1936109961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579EC6A4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_Toc1527895183 </w:instrText>
          </w:r>
          <w:r>
            <w:fldChar w:fldCharType="separate"/>
          </w:r>
          <w:r>
            <w:t>10.4 日常使用流程建议</w:t>
          </w:r>
          <w:r>
            <w:tab/>
          </w:r>
          <w:r>
            <w:fldChar w:fldCharType="begin"/>
          </w:r>
          <w:r>
            <w:instrText xml:space="preserve"> PAGEREF _Toc1527895183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D57C60D">
          <w:pPr>
            <w:pStyle w:val="26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_Toc1872373502 </w:instrText>
          </w:r>
          <w:r>
            <w:fldChar w:fldCharType="separate"/>
          </w:r>
          <w:r>
            <w:t>11 附录：接口与数据表</w:t>
          </w:r>
          <w:r>
            <w:tab/>
          </w:r>
          <w:r>
            <w:fldChar w:fldCharType="begin"/>
          </w:r>
          <w:r>
            <w:instrText xml:space="preserve"> PAGEREF _Toc1872373502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80726EE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_Toc1903568623 </w:instrText>
          </w:r>
          <w:r>
            <w:fldChar w:fldCharType="separate"/>
          </w:r>
          <w:r>
            <w:t>11.1 主要接口</w:t>
          </w:r>
          <w:r>
            <w:tab/>
          </w:r>
          <w:r>
            <w:fldChar w:fldCharType="begin"/>
          </w:r>
          <w:r>
            <w:instrText xml:space="preserve"> PAGEREF _Toc1903568623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17E367E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_Toc66473755 </w:instrText>
          </w:r>
          <w:r>
            <w:fldChar w:fldCharType="separate"/>
          </w:r>
          <w:r>
            <w:t>11.2 主要数据表</w:t>
          </w:r>
          <w:r>
            <w:tab/>
          </w:r>
          <w:r>
            <w:fldChar w:fldCharType="begin"/>
          </w:r>
          <w:r>
            <w:instrText xml:space="preserve"> PAGEREF _Toc66473755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FF0A9FB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_Toc532903845 </w:instrText>
          </w:r>
          <w:r>
            <w:fldChar w:fldCharType="separate"/>
          </w:r>
          <w:r>
            <w:t>11.3 使用注意事项</w:t>
          </w:r>
          <w:r>
            <w:tab/>
          </w:r>
          <w:r>
            <w:fldChar w:fldCharType="begin"/>
          </w:r>
          <w:r>
            <w:instrText xml:space="preserve"> PAGEREF _Toc532903845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6CEAC07">
          <w:pPr>
            <w:pStyle w:val="2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_Toc1508114925 </w:instrText>
          </w:r>
          <w:r>
            <w:fldChar w:fldCharType="separate"/>
          </w:r>
          <w:r>
            <w:t>11.4 数据维护与版本升级建议</w:t>
          </w:r>
          <w:r>
            <w:tab/>
          </w:r>
          <w:r>
            <w:fldChar w:fldCharType="begin"/>
          </w:r>
          <w:r>
            <w:instrText xml:space="preserve"> PAGEREF _Toc1508114925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7FA67ED">
          <w:r>
            <w:fldChar w:fldCharType="end"/>
          </w:r>
        </w:p>
      </w:sdtContent>
    </w:sdt>
    <w:p w14:paraId="37C1D6FF">
      <w:r>
        <w:br w:type="page"/>
      </w:r>
    </w:p>
    <w:p w14:paraId="45986A70"/>
    <w:p w14:paraId="4B47F9DE">
      <w:pPr>
        <w:pStyle w:val="3"/>
      </w:pPr>
      <w:bookmarkStart w:id="0" w:name="_Toc414025522"/>
      <w:r>
        <w:t>1 系统概述</w:t>
      </w:r>
      <w:bookmarkEnd w:id="0"/>
    </w:p>
    <w:p w14:paraId="103D78B5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麻生跨境店铺智能化商品数据报表系统面向 TikTok 等跨境店铺商品经营分析场景，围绕店铺、PID、SPU、商品表现、订单销售、活动视频、主推商品和数据导入结果，构建从数据仓库到后端接口再到前端报表页面的一体化应用。系统以 Doris 数仓 ADS 层报表为基础，结合 Java Spring Boot 后端接口和 Vue 前端页面，为运营人员提供统一、可追溯、可导出的商品经营分析入口。</w:t>
      </w:r>
    </w:p>
    <w:p w14:paraId="1C8889C7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本系统主要解决跨境店铺商品数据来源分散、PID 与 SPU 关系维护困难、商品和店铺经营变化依赖人工整理等问题。运营人员可在同一界面查看商品统计、店铺统计、PID 看板、主推 SPU 维护、数据导入结果和 AI 分析结论，从而提升日报、复盘和经营会议准备效率。</w:t>
      </w:r>
    </w:p>
    <w:p w14:paraId="23163296">
      <w:pPr>
        <w:pStyle w:val="4"/>
      </w:pPr>
      <w:bookmarkStart w:id="1" w:name="_Toc679931974"/>
      <w:r>
        <w:t>1.1 软件主要功能</w:t>
      </w:r>
      <w:bookmarkEnd w:id="1"/>
    </w:p>
    <w:p w14:paraId="26E0F7E7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商品统计报表：按店铺、市场、PID、SPU 和商品维度查看销量、GMV、订单量、转化表现和同比环比变化。</w:t>
      </w:r>
    </w:p>
    <w:p w14:paraId="5C983A66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店铺统计报表：按市场、店铺和本地支付时间聚合店铺经营数据，支持横向对比不同店铺增长情况。</w:t>
      </w:r>
    </w:p>
    <w:p w14:paraId="412B456C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PID 与 SPU 看板：展示 PID 明细、SPU 明细、主推 SPU 映射、缺失映射同步和经营分析结果。</w:t>
      </w:r>
    </w:p>
    <w:p w14:paraId="3064552A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导入与推送：支持商品列表、商品全模块分析、活动、视频表现、TK 账号等数据导入，并支持 Excel、图片和企业消息推送。</w:t>
      </w:r>
    </w:p>
    <w:p w14:paraId="6A5D38B7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AI 分析辅助：根据当前筛选条件和报表结果生成经营分析初稿，辅助运营人员完成复盘说明。</w:t>
      </w:r>
    </w:p>
    <w:p w14:paraId="2733A498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各功能模块以 PID、SPU、店铺、市场和统计日期为核心关联键，形成从商品表现到店铺复盘的连续分析链路。用户在商品统计中发现销量波动后，可继续下钻到 PID/SPU 看板分析推广贡献，并结合主推 SPU 维护结果确认归因口径。</w:t>
      </w:r>
    </w:p>
    <w:p w14:paraId="2BC067C1">
      <w:pPr>
        <w:pStyle w:val="4"/>
      </w:pPr>
      <w:bookmarkStart w:id="2" w:name="_Toc856201331"/>
      <w:r>
        <w:t>1.2 适用场景</w:t>
      </w:r>
      <w:bookmarkEnd w:id="2"/>
    </w:p>
    <w:p w14:paraId="4DEA4906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系统适用于跨境电商商品运营、店铺经营复盘、主推商品维护、数据导入核对、经营日报生成和会议室报表展示等场景。对于需要同时观察商品、店铺、PID 和 SPU 表现的用户，系统能够提供统一视图和稳定的数据口径。</w:t>
      </w:r>
    </w:p>
    <w:p w14:paraId="03ABF182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运营负责人：查看市场、店铺和商品经营表现，识别增长机会和异常波动。</w:t>
      </w:r>
    </w:p>
    <w:p w14:paraId="57278350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商品运营人员：维护 PID 与主推 SPU 关系，分析重点商品的销售贡献。</w:t>
      </w:r>
    </w:p>
    <w:p w14:paraId="289B571A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数据维护人员：关注 Doris ADS 表、导入批次、接口响应和同步任务状态。</w:t>
      </w:r>
    </w:p>
    <w:p w14:paraId="7FBB1375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经营复盘人员：导出 Excel、图片和 AI 分析结论，用于日报、周报和专题会议。</w:t>
      </w:r>
    </w:p>
    <w:p w14:paraId="3CF71745">
      <w:pPr>
        <w:pStyle w:val="3"/>
      </w:pPr>
      <w:bookmarkStart w:id="3" w:name="_Toc2035335217"/>
      <w:r>
        <w:t>2 运行环境</w:t>
      </w:r>
      <w:bookmarkEnd w:id="3"/>
    </w:p>
    <w:p w14:paraId="1D179F62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本系统采用前后端分离架构运行，后端服务部署在 Linux 服务器或同等环境中，前端页面运行于现代浏览器。数据层依赖 Doris 和 MySQL，调度链路由 DolphinScheduler 组织执行，部分数据来自 TikTok、积加 API、运营导入文件及内部业务库。</w:t>
      </w:r>
    </w:p>
    <w:p w14:paraId="23FF0A4C">
      <w:pPr>
        <w:pStyle w:val="4"/>
      </w:pPr>
      <w:bookmarkStart w:id="4" w:name="_Toc611979056"/>
      <w:r>
        <w:t>2.1 后端与数据环境</w:t>
      </w:r>
      <w:bookmarkEnd w:id="4"/>
    </w:p>
    <w:p w14:paraId="29A3D152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后端运行环境：Java 8、Spring Boot 应用服务，建议部署在稳定网络环境下。</w:t>
      </w:r>
    </w:p>
    <w:p w14:paraId="65B93678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数据仓库环境：Doris 承接商品、店铺、PID、SPU 等主题 ADS 报表结果。</w:t>
      </w:r>
    </w:p>
    <w:p w14:paraId="764D8433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业务源与调度：MySQL 保存配置、映射和导入批次，DolphinScheduler 负责定时触发数据加工链路。</w:t>
      </w:r>
    </w:p>
    <w:p w14:paraId="3E8244EB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运行依赖：数据库连接、接口访问凭证、消息推送配置、日志与异常监控配置。</w:t>
      </w:r>
    </w:p>
    <w:p w14:paraId="44C2D01F">
      <w:pPr>
        <w:pStyle w:val="4"/>
      </w:pPr>
      <w:bookmarkStart w:id="5" w:name="_Toc1232808709"/>
      <w:r>
        <w:t>2.2 前端与浏览器环境</w:t>
      </w:r>
      <w:bookmarkEnd w:id="5"/>
    </w:p>
    <w:p w14:paraId="2DE5CD03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前端技术：Vue 页面、表格组件、弹窗组件、导出工具和状态管理模块。</w:t>
      </w:r>
    </w:p>
    <w:p w14:paraId="67CC3E1B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浏览器要求：Chrome、Edge 或其他现代浏览器，建议分辨率 1366×768 及以上。</w:t>
      </w:r>
    </w:p>
    <w:p w14:paraId="121DAF45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网络要求：浏览器需能够访问后端 API 地址，并保证 AI 分析和图片导出接口不被代理中断。</w:t>
      </w:r>
    </w:p>
    <w:p w14:paraId="0A5AC6EF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展示环境：可在普通工作台、会议室大屏或投屏环境中使用，支持筛选、明细查看和导出。</w:t>
      </w:r>
    </w:p>
    <w:p w14:paraId="4E1C79D9">
      <w:pPr>
        <w:pStyle w:val="3"/>
      </w:pPr>
      <w:bookmarkStart w:id="6" w:name="_Toc893745907"/>
      <w:r>
        <w:t>3 总体架构与数据流转</w:t>
      </w:r>
      <w:bookmarkEnd w:id="6"/>
    </w:p>
    <w:p w14:paraId="27F60D3F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采用“数据仓库层、后端服务层、前端展示层”三层协同架构。数据仓库负责将商品、订单、店铺、PID、SPU、活动和视频数据统一加工；后端服务根据前端条件组织查询、导入、导出和推送；前端页面将接口数据渲染为筛选区、指标说明、明细表格、弹窗和操作按钮。</w:t>
      </w:r>
    </w:p>
    <w:p w14:paraId="3BC59D87">
      <w:pPr>
        <w:pStyle w:val="4"/>
      </w:pPr>
      <w:bookmarkStart w:id="7" w:name="_Toc1686831831"/>
      <w:r>
        <w:t>3.1 数仓加工链路</w:t>
      </w:r>
      <w:bookmarkEnd w:id="7"/>
    </w:p>
    <w:p w14:paraId="5BC01432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Doris ADS 层通过 ads_sales_pid_dashboard_1d、ads_sales_store_market_1d 等表承接最终查询结果。调度任务按业务日期、市场、店铺、PID、SPU 等口径对上游数据进行清洗、匹配和聚合，形成报表可直接读取的数据集。</w:t>
      </w:r>
    </w:p>
    <w:p w14:paraId="2498A7ED">
      <w:pPr>
        <w:pStyle w:val="4"/>
      </w:pPr>
      <w:bookmarkStart w:id="8" w:name="_Toc1650959570"/>
      <w:r>
        <w:t>3.2 后端服务链路</w:t>
      </w:r>
      <w:bookmarkEnd w:id="8"/>
    </w:p>
    <w:p w14:paraId="7B8E0ED9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后端接口集中在 tkdashboard 模块，包括 TkPidController、TkProductStatsController、TkStoreStatsController、TkImportController 和 TkImportHistoryController 等。服务提供数据最新时间、报表查询、明细导出、AI 分析、图片生成、主推 SPU 映射维护和导入历史查询能力。</w:t>
      </w:r>
    </w:p>
    <w:p w14:paraId="1BD0165B">
      <w:pPr>
        <w:pStyle w:val="4"/>
      </w:pPr>
      <w:bookmarkStart w:id="9" w:name="_Toc41290103"/>
      <w:r>
        <w:t>3.3 前端展示链路</w:t>
      </w:r>
      <w:bookmarkEnd w:id="9"/>
    </w:p>
    <w:p w14:paraId="71F878A2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前端页面主要包括 pid-board 和 shop-board 等模块。用户在页面筛选日期、市场、店铺、PID、SPU 等条件后，前端调用后端接口获取结果，并通过表格、汇总卡片、说明弹窗和导出按钮完成业务操作。</w:t>
      </w:r>
    </w:p>
    <w:p w14:paraId="4D131623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前端报表支持多条件联动筛选、表格固定列、分页查看、排序、导出状态提示和弹窗详情展示。页面在查询前会保留用户当前筛选条件，在导出、AI 分析或推送时沿用同一条件，确保屏幕展示结果与下载结果保持一致。</w:t>
      </w:r>
    </w:p>
    <w:p w14:paraId="4B405DF9">
      <w:pPr>
        <w:pStyle w:val="4"/>
      </w:pPr>
      <w:bookmarkStart w:id="10" w:name="_Toc325543140"/>
      <w:r>
        <w:t>3.4 数据口径说明</w:t>
      </w:r>
      <w:bookmarkEnd w:id="10"/>
    </w:p>
    <w:p w14:paraId="054FF66A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涉及跨市场经营数据，统计口径以页面说明弹窗和接口返回字段为准。日期维度通常按本地支付时间或业务统计日期汇总，金额类指标需关注币种和换算口径，商品与店铺类指标需关注导入批次、平台接口返回时间和报表更新时间。</w:t>
      </w:r>
    </w:p>
    <w:p w14:paraId="612734D7">
      <w:pPr>
        <w:pStyle w:val="3"/>
      </w:pPr>
      <w:bookmarkStart w:id="11" w:name="_Toc1762705071"/>
      <w:r>
        <w:t>4 登录、首页与筛选操作</w:t>
      </w:r>
      <w:bookmarkEnd w:id="11"/>
    </w:p>
    <w:p w14:paraId="0B6B7E00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用户通过统一后台入口登录系统。进入报表页面后，应先确认当前账号权限、数据更新时间和默认筛选条件。常用筛选项包括统计日期、市场、店铺、PID、SPU、商品名称、活动状态和导入批次等。</w:t>
      </w:r>
    </w:p>
    <w:p w14:paraId="102D7251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选择统计日期或日期范围，确认是否需要按日、周、月或自定义区间查看。</w:t>
      </w:r>
    </w:p>
    <w:p w14:paraId="005B2E20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选择市场、店铺、PID 或商品关键字，点击查询按钮刷新页面数据。</w:t>
      </w:r>
    </w:p>
    <w:p w14:paraId="489E1332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查看页面展示的数据最新时间，确认报表数据是否已完成同步。</w:t>
      </w:r>
    </w:p>
    <w:p w14:paraId="08774BAA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对需要解释的指标，可打开说明弹窗查看统计口径和字段含义。</w:t>
      </w:r>
    </w:p>
    <w:p w14:paraId="085104FB">
      <w:pPr>
        <w:pStyle w:val="4"/>
      </w:pPr>
      <w:bookmarkStart w:id="12" w:name="_Toc1247217932"/>
      <w:r>
        <w:t>4.1 查询与筛选流程</w:t>
      </w:r>
      <w:bookmarkEnd w:id="12"/>
    </w:p>
    <w:p w14:paraId="12D455B4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首次进入页面时，系统会加载默认日期和可用筛选项。用户应先根据分析目标选择日期范围，再选择市场、店铺、PID 或 SPU 等条件。若需要查看全局趋势，可只保留日期和市场条件；若需要定位单个商品问题，则应逐步收窄到 PID 或 SPU 维度。</w:t>
      </w:r>
    </w:p>
    <w:p w14:paraId="6B523D7A">
      <w:pPr>
        <w:pStyle w:val="4"/>
      </w:pPr>
      <w:bookmarkStart w:id="13" w:name="_Toc403904757"/>
      <w:r>
        <w:t>4.2 导出前确认</w:t>
      </w:r>
      <w:bookmarkEnd w:id="13"/>
    </w:p>
    <w:p w14:paraId="00AE4E08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导出 Excel、图片或触发推送前，应确认当前筛选条件、统计日期、数据最新时间、币种口径和指标说明均符合本次使用场景。用于正式会议或外部归档的文件，建议在文件名中保留统计日期、市场和店铺范围，便于后续追溯。</w:t>
      </w:r>
    </w:p>
    <w:p w14:paraId="7C9F7879">
      <w:pPr>
        <w:jc w:val="center"/>
      </w:pPr>
      <w:r>
        <w:drawing>
          <wp:inline distT="0" distB="0" distL="114300" distR="114300">
            <wp:extent cx="5507990" cy="27686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76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802D">
      <w:pPr>
        <w:jc w:val="center"/>
      </w:pPr>
      <w:r>
        <w:rPr>
          <w:rFonts w:ascii="宋体" w:hAnsi="宋体" w:eastAsia="宋体"/>
          <w:b w:val="0"/>
          <w:i/>
          <w:sz w:val="18"/>
        </w:rPr>
        <w:t>图 1 商品统计入口与筛选区域示意</w:t>
      </w:r>
    </w:p>
    <w:p w14:paraId="64251FEB">
      <w:pPr>
        <w:jc w:val="center"/>
      </w:pPr>
      <w:r>
        <w:drawing>
          <wp:inline distT="0" distB="0" distL="114300" distR="114300">
            <wp:extent cx="5507990" cy="2783840"/>
            <wp:effectExtent l="0" t="0" r="381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78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CEAD">
      <w:pPr>
        <w:jc w:val="center"/>
      </w:pPr>
      <w:r>
        <w:rPr>
          <w:rFonts w:ascii="宋体" w:hAnsi="宋体" w:eastAsia="宋体"/>
          <w:b w:val="0"/>
          <w:i/>
          <w:sz w:val="18"/>
        </w:rPr>
        <w:t>图 2 指标说明弹窗示意</w:t>
      </w:r>
    </w:p>
    <w:p w14:paraId="2187A0A6">
      <w:pPr>
        <w:pStyle w:val="3"/>
      </w:pPr>
      <w:bookmarkStart w:id="14" w:name="_Toc231442732"/>
      <w:r>
        <w:t>5 商品统计报表</w:t>
      </w:r>
      <w:bookmarkEnd w:id="14"/>
    </w:p>
    <w:p w14:paraId="0A80D0CA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商品统计报表用于查看跨境店铺商品在不同统计口径下的销量、销售额、订单数、转化表现和同比环比变化。用户可按店铺、市场、PID、SPU、商品名称等条件筛选数据，并在店铺明细与 PID 明细之间切换。</w:t>
      </w:r>
    </w:p>
    <w:p w14:paraId="0B32506F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页面通常由筛选区、数据最新时间提示、汇总指标、明细表格、指标说明、AI 分析和导出按钮组成。运营人员可先通过顶部条件缩小分析范围，再通过表格排序定位异常商品，最后结合导出结果形成复盘材料。</w:t>
      </w:r>
    </w:p>
    <w:p w14:paraId="0F992282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进入商品统计页面，选择统计日期、市场、店铺或商品关键字。</w:t>
      </w:r>
    </w:p>
    <w:p w14:paraId="652E0904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点击查询按钮，系统加载商品指标和明细列表。</w:t>
      </w:r>
    </w:p>
    <w:p w14:paraId="2100B486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根据销售额、订单数、转化率、GMV 等字段排序，定位重点商品。</w:t>
      </w:r>
    </w:p>
    <w:p w14:paraId="2D9A71FB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如需复盘，可导出 Excel、导出图片或打开 AI 分析生成结论草稿。</w:t>
      </w:r>
    </w:p>
    <w:p w14:paraId="5BC4C5BB">
      <w:pPr>
        <w:jc w:val="center"/>
      </w:pPr>
      <w:r>
        <w:drawing>
          <wp:inline distT="0" distB="0" distL="114300" distR="114300">
            <wp:extent cx="5507990" cy="2804795"/>
            <wp:effectExtent l="0" t="0" r="381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8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DA10">
      <w:pPr>
        <w:jc w:val="center"/>
      </w:pPr>
      <w:r>
        <w:rPr>
          <w:rFonts w:ascii="宋体" w:hAnsi="宋体" w:eastAsia="宋体"/>
          <w:b w:val="0"/>
          <w:i/>
          <w:sz w:val="18"/>
        </w:rPr>
        <w:t>图 3 商品统计明细表格示意</w:t>
      </w:r>
    </w:p>
    <w:p w14:paraId="082293F7">
      <w:pPr>
        <w:jc w:val="center"/>
      </w:pPr>
      <w:r>
        <w:drawing>
          <wp:inline distT="0" distB="0" distL="114300" distR="114300">
            <wp:extent cx="5507990" cy="2741930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74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81D2">
      <w:pPr>
        <w:jc w:val="center"/>
      </w:pPr>
      <w:r>
        <w:rPr>
          <w:rFonts w:ascii="宋体" w:hAnsi="宋体" w:eastAsia="宋体"/>
          <w:b w:val="0"/>
          <w:i/>
          <w:sz w:val="18"/>
        </w:rPr>
        <w:t>图 4 商品统计多维指标示意</w:t>
      </w:r>
    </w:p>
    <w:p w14:paraId="6FDDC229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分析商品数据时，应重点核对统计日期、活动期间、视频或达人推广、商品上下架状态和导入批次。若某一商品出现销量突然下降，可结合 PID 维度、SPU 明细和店铺维度判断是流量变化、映射缺失、活动变化还是平台接口同步延迟。</w:t>
      </w:r>
    </w:p>
    <w:p w14:paraId="68504360">
      <w:pPr>
        <w:pStyle w:val="4"/>
      </w:pPr>
      <w:bookmarkStart w:id="15" w:name="_Toc765112007"/>
      <w:r>
        <w:t>5.1 商品分析流程</w:t>
      </w:r>
      <w:bookmarkEnd w:id="15"/>
    </w:p>
    <w:p w14:paraId="534B6AE3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商品分析建议按照“先总体、再异常、后下钻”的顺序进行。用户先查看当前市场或店铺的整体商品表现，再按照销售额、订单量、转化率或增长率排序，筛选出排名靠前或下降明显的商品，最后进入 PID/SPU 维度确认对应的推广、活动和商品关系。</w:t>
      </w:r>
    </w:p>
    <w:p w14:paraId="6D77554A">
      <w:pPr>
        <w:jc w:val="center"/>
      </w:pPr>
      <w:r>
        <w:drawing>
          <wp:inline distT="0" distB="0" distL="114300" distR="114300">
            <wp:extent cx="5507990" cy="2771775"/>
            <wp:effectExtent l="0" t="0" r="3810" b="222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7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F5AB">
      <w:pPr>
        <w:jc w:val="center"/>
      </w:pPr>
      <w:r>
        <w:rPr>
          <w:rFonts w:ascii="宋体" w:hAnsi="宋体" w:eastAsia="宋体"/>
          <w:b w:val="0"/>
          <w:i/>
          <w:sz w:val="18"/>
        </w:rPr>
        <w:t>图 5 商品统计分组与汇总示意</w:t>
      </w:r>
    </w:p>
    <w:p w14:paraId="5872ED61">
      <w:pPr>
        <w:jc w:val="center"/>
      </w:pPr>
      <w:r>
        <w:drawing>
          <wp:inline distT="0" distB="0" distL="114300" distR="114300">
            <wp:extent cx="5507990" cy="2762250"/>
            <wp:effectExtent l="0" t="0" r="381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76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C520">
      <w:pPr>
        <w:jc w:val="center"/>
      </w:pPr>
      <w:r>
        <w:rPr>
          <w:rFonts w:ascii="宋体" w:hAnsi="宋体" w:eastAsia="宋体"/>
          <w:b w:val="0"/>
          <w:i/>
          <w:sz w:val="18"/>
        </w:rPr>
        <w:t>图 6 商品指标说明弹窗示意</w:t>
      </w:r>
    </w:p>
    <w:p w14:paraId="776C5572">
      <w:pPr>
        <w:pStyle w:val="3"/>
      </w:pPr>
      <w:bookmarkStart w:id="16" w:name="_Toc105423413"/>
      <w:r>
        <w:t>6 店铺统计报表</w:t>
      </w:r>
      <w:bookmarkEnd w:id="16"/>
    </w:p>
    <w:p w14:paraId="5BC69228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店铺统计报表聚合展示各市场、各店铺的经营表现，支持按本地支付时间、店铺所属市场和业务组织查看订单、GMV、商品数及趋势变化，便于运营负责人横向比较店铺状态。</w:t>
      </w:r>
    </w:p>
    <w:p w14:paraId="0616DBFE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该模块适合在每日晨会、周经营复盘和市场专项分析中使用。用户可先查看各店铺的整体销售规模，再按照市场、店铺或商品贡献排序，判断增长来自重点商品突破、店铺活动投放，还是单个异常订单造成的短期波动。</w:t>
      </w:r>
    </w:p>
    <w:p w14:paraId="4662C07D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在筛选区选择日期、市场、店铺和排序条件。</w:t>
      </w:r>
    </w:p>
    <w:p w14:paraId="0D7E08AB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查看店铺维度指标表，重点关注销售额、订单量、客单价、商品贡献等字段。</w:t>
      </w:r>
    </w:p>
    <w:p w14:paraId="1AECBE54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结合说明弹窗确认统计口径，避免跨市场时区和支付时间口径混用。</w:t>
      </w:r>
    </w:p>
    <w:p w14:paraId="595D9BB0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必要时导出报表，用于晨会、周会或专项复盘。</w:t>
      </w:r>
    </w:p>
    <w:p w14:paraId="5D90C82C">
      <w:pPr>
        <w:jc w:val="center"/>
      </w:pPr>
      <w:r>
        <w:drawing>
          <wp:inline distT="0" distB="0" distL="114300" distR="114300">
            <wp:extent cx="5507990" cy="2764155"/>
            <wp:effectExtent l="0" t="0" r="381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76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9820">
      <w:pPr>
        <w:jc w:val="center"/>
      </w:pPr>
      <w:r>
        <w:rPr>
          <w:rFonts w:ascii="宋体" w:hAnsi="宋体" w:eastAsia="宋体"/>
          <w:b w:val="0"/>
          <w:i/>
          <w:sz w:val="18"/>
        </w:rPr>
        <w:t>图 7 店铺统计弹窗明细示意</w:t>
      </w:r>
    </w:p>
    <w:p w14:paraId="4809D10B">
      <w:pPr>
        <w:pStyle w:val="4"/>
      </w:pPr>
      <w:bookmarkStart w:id="17" w:name="_Toc177293516"/>
      <w:r>
        <w:t>6.1 店铺复盘流程</w:t>
      </w:r>
      <w:bookmarkEnd w:id="17"/>
    </w:p>
    <w:p w14:paraId="2A40E307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店铺复盘可从销售规模、订单数量、客单价、商品贡献和异常波动五个角度展开。运营负责人可以先按市场筛选店铺，再比较同一市场内不同店铺的销售结构；也可以按店铺筛选后观察不同日期的变化趋势，判断增长是否具有连续性。</w:t>
      </w:r>
    </w:p>
    <w:p w14:paraId="4087129B">
      <w:pPr>
        <w:pStyle w:val="3"/>
      </w:pPr>
      <w:bookmarkStart w:id="18" w:name="_Toc1212305023"/>
      <w:r>
        <w:t>7 PID 与 SPU 数据看板</w:t>
      </w:r>
      <w:bookmarkEnd w:id="18"/>
    </w:p>
    <w:p w14:paraId="7D94CA10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PID 数据看板围绕推广或商品标识建立分析视图，展示 PID 在不同店铺、市场和商品维度下的销售贡献、增长变化、主推商品匹配情况和异常波动。SPU 明细用于从商品标准化维度继续下钻，便于分析重点商品组合。</w:t>
      </w:r>
    </w:p>
    <w:p w14:paraId="42CB56D1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进入 PID 看板，选择统计日期和目标 PID。</w:t>
      </w:r>
    </w:p>
    <w:p w14:paraId="045F400E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在汇总区查看整体销售表现，在明细区下钻到店铺、SPU 或商品维度。</w:t>
      </w:r>
    </w:p>
    <w:p w14:paraId="302B5F14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切换 PID 明细、SPU 看板和 SPU 明细，比较不同商品组合的贡献。</w:t>
      </w:r>
    </w:p>
    <w:p w14:paraId="61D2BF80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点击分析按钮生成经营分析，结合系统返回的指标说明判断推广调整方向。</w:t>
      </w:r>
    </w:p>
    <w:p w14:paraId="2571B919">
      <w:pPr>
        <w:jc w:val="center"/>
      </w:pPr>
      <w:r>
        <w:drawing>
          <wp:inline distT="0" distB="0" distL="114300" distR="114300">
            <wp:extent cx="5507990" cy="2763520"/>
            <wp:effectExtent l="0" t="0" r="381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76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FC5A">
      <w:pPr>
        <w:jc w:val="center"/>
      </w:pPr>
      <w:r>
        <w:rPr>
          <w:rFonts w:ascii="宋体" w:hAnsi="宋体" w:eastAsia="宋体"/>
          <w:b w:val="0"/>
          <w:i/>
          <w:sz w:val="18"/>
        </w:rPr>
        <w:t>图 8 PID 数据看板汇总示意</w:t>
      </w:r>
    </w:p>
    <w:p w14:paraId="178B27FA">
      <w:pPr>
        <w:jc w:val="center"/>
      </w:pPr>
      <w:r>
        <w:drawing>
          <wp:inline distT="0" distB="0" distL="114300" distR="114300">
            <wp:extent cx="5507990" cy="2763520"/>
            <wp:effectExtent l="0" t="0" r="381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76DF">
      <w:pPr>
        <w:jc w:val="center"/>
      </w:pPr>
      <w:r>
        <w:rPr>
          <w:rFonts w:ascii="宋体" w:hAnsi="宋体" w:eastAsia="宋体"/>
          <w:b w:val="0"/>
          <w:i/>
          <w:sz w:val="18"/>
        </w:rPr>
        <w:t>图 9 PID/SPU 明细表格示意</w:t>
      </w:r>
    </w:p>
    <w:p w14:paraId="7D4FF1B2">
      <w:pPr>
        <w:jc w:val="center"/>
      </w:pPr>
      <w:r>
        <w:drawing>
          <wp:inline distT="0" distB="0" distL="114300" distR="114300">
            <wp:extent cx="5507990" cy="2782570"/>
            <wp:effectExtent l="0" t="0" r="381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AB61">
      <w:pPr>
        <w:jc w:val="center"/>
      </w:pPr>
      <w:r>
        <w:rPr>
          <w:rFonts w:ascii="宋体" w:hAnsi="宋体" w:eastAsia="宋体"/>
          <w:b w:val="0"/>
          <w:i/>
          <w:sz w:val="18"/>
        </w:rPr>
        <w:t>图 10 SPU 维度经营明细示意</w:t>
      </w:r>
    </w:p>
    <w:p w14:paraId="737273CD">
      <w:pPr>
        <w:pStyle w:val="4"/>
      </w:pPr>
      <w:bookmarkStart w:id="19" w:name="_Toc2033162472"/>
      <w:r>
        <w:t>7.1 主推商品分析流程</w:t>
      </w:r>
      <w:bookmarkEnd w:id="19"/>
    </w:p>
    <w:p w14:paraId="6DC2796C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主推商品分析应先确认 PID 对应的业务含义和当前维护的主推 SPU，再查看 SPU 明细中的销售额、订单量、商品数量和变化趋势。对于主推 SPU 缺失或贡献异常的情况，应先补充映射关系，再重新查询报表，确保分析结论基于完整数据。</w:t>
      </w:r>
    </w:p>
    <w:p w14:paraId="0A7A5AEA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在推广复盘中，用户可将 PID 看板结果与商品统计、活动数据和视频表现交叉验证。若推广带来流量但销量未提升，应关注转化率、价格、商品状态和店铺活动情况。</w:t>
      </w:r>
    </w:p>
    <w:p w14:paraId="607316AC">
      <w:pPr>
        <w:jc w:val="center"/>
      </w:pPr>
      <w:r>
        <w:drawing>
          <wp:inline distT="0" distB="0" distL="114300" distR="114300">
            <wp:extent cx="5507990" cy="2786380"/>
            <wp:effectExtent l="0" t="0" r="381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78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D2F4">
      <w:pPr>
        <w:jc w:val="center"/>
      </w:pPr>
      <w:r>
        <w:rPr>
          <w:rFonts w:ascii="宋体" w:hAnsi="宋体" w:eastAsia="宋体"/>
          <w:b w:val="0"/>
          <w:i/>
          <w:sz w:val="18"/>
        </w:rPr>
        <w:t>图 11 SPU 指标分析结果示意</w:t>
      </w:r>
    </w:p>
    <w:p w14:paraId="4C8D1F14">
      <w:pPr>
        <w:pStyle w:val="3"/>
      </w:pPr>
      <w:bookmarkStart w:id="20" w:name="_Toc601875840"/>
      <w:r>
        <w:t>8 主推 SPU 维护与数据导入</w:t>
      </w:r>
      <w:bookmarkEnd w:id="20"/>
    </w:p>
    <w:p w14:paraId="6CD21A82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系统支持从 PID 下钻到 SPU 明细，并提供主推 SPU 映射维护。运营人员可将 PID 与重点商品建立关系，用于后续商品排名、缺失同步、分析推送和异常监控。</w:t>
      </w:r>
    </w:p>
    <w:p w14:paraId="38175A31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在 PID 看板中打开主推 SPU 维护窗口。</w:t>
      </w:r>
    </w:p>
    <w:p w14:paraId="40090362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按 PID、SPU 或商品名称查询现有映射记录。</w:t>
      </w:r>
    </w:p>
    <w:p w14:paraId="34985635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新增或修改主推 SPU 后保存，系统将校验必填项并更新映射关系。</w:t>
      </w:r>
    </w:p>
    <w:p w14:paraId="349C597B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数据导入模块支持商品列表、商品全模块分析、活动、视频表现、达人联盟视频和 TK 账号等数据。</w:t>
      </w:r>
    </w:p>
    <w:p w14:paraId="0A315B2C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导入完成后可在历史记录中查看批次、处理状态、成功数量、失败数量和失败原因。</w:t>
      </w:r>
    </w:p>
    <w:p w14:paraId="4C51754D">
      <w:pPr>
        <w:jc w:val="center"/>
      </w:pPr>
      <w:r>
        <w:drawing>
          <wp:inline distT="0" distB="0" distL="114300" distR="114300">
            <wp:extent cx="5507990" cy="2753995"/>
            <wp:effectExtent l="0" t="0" r="3810" b="146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7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7368">
      <w:pPr>
        <w:jc w:val="center"/>
      </w:pPr>
      <w:r>
        <w:rPr>
          <w:rFonts w:ascii="宋体" w:hAnsi="宋体" w:eastAsia="宋体"/>
          <w:b w:val="0"/>
          <w:i/>
          <w:sz w:val="18"/>
        </w:rPr>
        <w:t>图 12 主推 SPU 维护窗口示意</w:t>
      </w:r>
    </w:p>
    <w:p w14:paraId="68F35296">
      <w:pPr>
        <w:pStyle w:val="4"/>
      </w:pPr>
      <w:bookmarkStart w:id="21" w:name="_Toc1079265510"/>
      <w:r>
        <w:t>8.1 映射维护流程</w:t>
      </w:r>
      <w:bookmarkEnd w:id="21"/>
    </w:p>
    <w:p w14:paraId="3B13D677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映射维护前应先确认 PID、SPU、商品名称和业务归属是否准确。新增记录后，用户应重新查询 PID 看板，确认主推商品已经纳入对应统计范围；修改记录时，应记录调整原因和生效时间，便于后续复盘时解释口径变化。</w:t>
      </w:r>
    </w:p>
    <w:p w14:paraId="1BEE2EC8">
      <w:pPr>
        <w:pStyle w:val="4"/>
      </w:pPr>
      <w:bookmarkStart w:id="22" w:name="_Toc1568544008"/>
      <w:r>
        <w:t>8.2 数据导入与历史查询</w:t>
      </w:r>
      <w:bookmarkEnd w:id="22"/>
    </w:p>
    <w:p w14:paraId="39E347C8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数据导入人员应使用系统约定模板上传文件，并在导入完成后查看处理结果。若出现失败记录，应根据失败原因检查字段名称、日期格式、编码关系和必填项，再重新上传修正后的文件。</w:t>
      </w:r>
    </w:p>
    <w:p w14:paraId="486EA959">
      <w:pPr>
        <w:pStyle w:val="3"/>
      </w:pPr>
      <w:bookmarkStart w:id="23" w:name="_Toc9891884"/>
      <w:r>
        <w:t>9 AI 智能解读与报表导出</w:t>
      </w:r>
      <w:bookmarkEnd w:id="23"/>
    </w:p>
    <w:p w14:paraId="791D59A0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系统将报表结果、指标口径和业务规则组合为分析输入，支持商品统计、PID 看板和 SPU 看板的 AI 分析输出，并提供表格导出、图片渲染和企业微信或飞书推送能力，减少人工整理日报和截图的工作量。</w:t>
      </w:r>
    </w:p>
    <w:p w14:paraId="789A6713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在报表页完成筛选后点击 AI 分析，等待系统生成文字结论。</w:t>
      </w:r>
    </w:p>
    <w:p w14:paraId="2166D7C9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选择导出 Excel 或导出图片，系统按当前筛选条件生成结果文件。</w:t>
      </w:r>
    </w:p>
    <w:p w14:paraId="0FCFB0AA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对需要同步团队的信息，可通过广播或推送功能发送到指定群组。</w:t>
      </w:r>
    </w:p>
    <w:p w14:paraId="08486F2B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导出前应确认筛选条件、统计口径和数据最新时间，避免发送错误范围的数据。</w:t>
      </w:r>
    </w:p>
    <w:p w14:paraId="030EF017">
      <w:pPr>
        <w:jc w:val="center"/>
      </w:pPr>
      <w:r>
        <w:drawing>
          <wp:inline distT="0" distB="0" distL="114300" distR="114300">
            <wp:extent cx="5507990" cy="274320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74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BEB8">
      <w:pPr>
        <w:jc w:val="center"/>
      </w:pPr>
      <w:r>
        <w:rPr>
          <w:rFonts w:ascii="宋体" w:hAnsi="宋体" w:eastAsia="宋体"/>
          <w:b w:val="0"/>
          <w:i/>
          <w:sz w:val="18"/>
        </w:rPr>
        <w:t>图 13 AI 分析与经营指标结果示意</w:t>
      </w:r>
    </w:p>
    <w:p w14:paraId="64F3A374">
      <w:pPr>
        <w:pStyle w:val="3"/>
      </w:pPr>
      <w:bookmarkStart w:id="24" w:name="_Toc896653569"/>
      <w:r>
        <w:t>10 异常处理与常见问题</w:t>
      </w:r>
      <w:bookmarkEnd w:id="24"/>
    </w:p>
    <w:p w14:paraId="5A3263D2">
      <w:pPr>
        <w:pStyle w:val="4"/>
      </w:pPr>
      <w:bookmarkStart w:id="25" w:name="_Toc1163783184"/>
      <w:r>
        <w:t>10.1 异常处理</w:t>
      </w:r>
      <w:bookmarkEnd w:id="25"/>
    </w:p>
    <w:p w14:paraId="5BA79F14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页面无数据：检查统计日期、店铺、市场、PID、SPU 等筛选条件是否过窄，并确认数据最新时间。</w:t>
      </w:r>
    </w:p>
    <w:p w14:paraId="4B894192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导入失败：检查文件模板、日期格式、字段名称和文件名是否符合系统约定。</w:t>
      </w:r>
    </w:p>
    <w:p w14:paraId="2C551952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映射缺失：在主推 SPU 维护窗口查询并补充对应关系，再重新查询看板。</w:t>
      </w:r>
    </w:p>
    <w:p w14:paraId="0CC84096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导出失败：检查浏览器权限、网络连接、导出范围和后端导出接口日志。</w:t>
      </w:r>
    </w:p>
    <w:p w14:paraId="087E4784">
      <w:pPr>
        <w:pStyle w:val="4"/>
      </w:pPr>
      <w:bookmarkStart w:id="26" w:name="_Toc422916612"/>
      <w:r>
        <w:t>10.2 常见问题</w:t>
      </w:r>
      <w:bookmarkEnd w:id="26"/>
    </w:p>
    <w:p w14:paraId="31783093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问题一：页面数据与导出数据不一致怎么办？</w:t>
      </w:r>
    </w:p>
    <w:p w14:paraId="186AA07B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处理建议：先确认筛选条件、统计日期、市场时区和数据更新时间是否一致。若导出时间晚于页面查询时间，可能包含新同步的数据。</w:t>
      </w:r>
    </w:p>
    <w:p w14:paraId="0384A02E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问题二：为什么部分 PID 没有主推 SPU？</w:t>
      </w:r>
    </w:p>
    <w:p w14:paraId="65ECB26A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处理建议：通常是新商品或新推广标识尚未维护映射。可在主推 SPU 维护窗口查询并补充，也可触发缺失映射同步。</w:t>
      </w:r>
    </w:p>
    <w:p w14:paraId="1772B320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问题三：AI 分析结果可以直接作为最终结论吗？</w:t>
      </w:r>
    </w:p>
    <w:p w14:paraId="3BE0C7F6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处理建议：AI 分析用于辅助定位问题和形成初稿，最终经营动作仍需结合业务人员对商品、市场和活动背景的判断。</w:t>
      </w:r>
    </w:p>
    <w:p w14:paraId="7C6CCB80">
      <w:pPr>
        <w:pStyle w:val="4"/>
      </w:pPr>
      <w:bookmarkStart w:id="27" w:name="_Toc1936109961"/>
      <w:r>
        <w:t>10.3 操作前检查清单</w:t>
      </w:r>
      <w:bookmarkEnd w:id="27"/>
    </w:p>
    <w:p w14:paraId="4C778681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确认当前账号具备报表查看、导出、导入或维护权限。</w:t>
      </w:r>
    </w:p>
    <w:p w14:paraId="5E1B5E54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确认统计日期、市场、店铺、PID、SPU 等筛选条件符合本次分析目标。</w:t>
      </w:r>
    </w:p>
    <w:p w14:paraId="124D2306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确认页面数据最新时间，必要时等待调度任务或接口同步完成。</w:t>
      </w:r>
    </w:p>
    <w:p w14:paraId="02AEC3D3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导出或推送前再次核对接收对象和数据范围。</w:t>
      </w:r>
    </w:p>
    <w:p w14:paraId="56274540">
      <w:pPr>
        <w:pStyle w:val="4"/>
      </w:pPr>
      <w:bookmarkStart w:id="28" w:name="_Toc1527895183"/>
      <w:r>
        <w:t>10.4 日常使用流程建议</w:t>
      </w:r>
      <w:bookmarkEnd w:id="28"/>
    </w:p>
    <w:p w14:paraId="1FBF7827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建议运营人员每日先查看店铺统计和商品统计，定位销售变化，再进入 PID/SPU 看板分析推广商品表现。对于需要团队同步的结论，可通过 AI 分析生成初稿，再结合导出图片或 Excel 报表完成分发。</w:t>
      </w:r>
    </w:p>
    <w:p w14:paraId="09C3A29B">
      <w:pPr>
        <w:pStyle w:val="3"/>
      </w:pPr>
      <w:bookmarkStart w:id="29" w:name="_Toc1872373502"/>
      <w:r>
        <w:t>11 附录：接口与数据表</w:t>
      </w:r>
      <w:bookmarkEnd w:id="29"/>
    </w:p>
    <w:p w14:paraId="274127B4">
      <w:pPr>
        <w:pStyle w:val="4"/>
      </w:pPr>
      <w:bookmarkStart w:id="30" w:name="_Toc1903568623"/>
      <w:r>
        <w:t>11.1 主要接口</w:t>
      </w:r>
      <w:bookmarkEnd w:id="30"/>
    </w:p>
    <w:p w14:paraId="0F0D689D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商品统计：/tk/sales/productStats、/export、/aiAnalysis、/broadcast。</w:t>
      </w:r>
    </w:p>
    <w:p w14:paraId="65B04C10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店铺统计：/tk/sales/storeSiteStats、/export、/broadcast。</w:t>
      </w:r>
    </w:p>
    <w:p w14:paraId="452964B0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PID 看板：/tk/pid/dashboard、/detail、/spu/dashboard、/mainSpuMapping。</w:t>
      </w:r>
    </w:p>
    <w:p w14:paraId="643481B9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数据导入：/tk/import/productList、/productCampaign、/videoPerformance、/tkAccount。</w:t>
      </w:r>
    </w:p>
    <w:p w14:paraId="7630B244">
      <w:pPr>
        <w:pStyle w:val="4"/>
      </w:pPr>
      <w:bookmarkStart w:id="31" w:name="_Toc66473755"/>
      <w:r>
        <w:t>11.2 主要数据表</w:t>
      </w:r>
      <w:bookmarkEnd w:id="31"/>
    </w:p>
    <w:p w14:paraId="26001BA6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ads_sales_pid_dashboard_1d：PID 看板应用层销售与视频指标结果表。</w:t>
      </w:r>
    </w:p>
    <w:p w14:paraId="63178DFE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ads_sales_store_market_1d：店铺与市场维度应用层销售结果表。</w:t>
      </w:r>
    </w:p>
    <w:p w14:paraId="5EDA0A3D">
      <w:pPr>
        <w:spacing w:after="80"/>
        <w:ind w:left="360" w:hanging="240"/>
      </w:pPr>
      <w:r>
        <w:rPr>
          <w:rFonts w:ascii="宋体" w:hAnsi="宋体" w:eastAsia="宋体"/>
          <w:b w:val="0"/>
          <w:sz w:val="21"/>
        </w:rPr>
        <w:t>• MySQL 配置与映射表：保存导入批次、主推 SPU 映射、同步状态和业务配置。</w:t>
      </w:r>
    </w:p>
    <w:p w14:paraId="394759C5">
      <w:pPr>
        <w:pStyle w:val="4"/>
      </w:pPr>
      <w:bookmarkStart w:id="32" w:name="_Toc532903845"/>
      <w:r>
        <w:t>11.3 使用注意事项</w:t>
      </w:r>
      <w:bookmarkEnd w:id="32"/>
    </w:p>
    <w:p w14:paraId="187071B0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跨市场统计涉及本地时间、支付时间、币种和平台接口返回时间，用户应以页面说明弹窗中的口径为准。涉及店铺经营、商品销量和账号数据的导出文件应按照公司权限制度保存和分发，不得发送给无关人员。</w:t>
      </w:r>
    </w:p>
    <w:p w14:paraId="634B0DBA">
      <w:pPr>
        <w:pStyle w:val="4"/>
      </w:pPr>
      <w:bookmarkStart w:id="33" w:name="_Toc1508114925"/>
      <w:r>
        <w:t>11.4 数据维护与版本升级建议</w:t>
      </w:r>
      <w:bookmarkEnd w:id="33"/>
    </w:p>
    <w:p w14:paraId="0CAA887E">
      <w:pPr>
        <w:spacing w:line="300" w:lineRule="auto"/>
        <w:ind w:firstLine="420"/>
      </w:pPr>
      <w:r>
        <w:rPr>
          <w:rFonts w:ascii="宋体" w:hAnsi="宋体" w:eastAsia="宋体"/>
          <w:b w:val="0"/>
          <w:sz w:val="21"/>
        </w:rPr>
        <w:t>系统上线后应定期检查 Doris ADS 表同步任务、后端接口日志、导入模板字段和前端筛选项是否保持一致。新增市场、店铺、PID 规则或报表字段时，应同步更新数据加工脚本、接口返回字段、页面说明弹窗和用户手册，避免业务口径在不同环节出现偏差。</w:t>
      </w:r>
      <w:bookmarkStart w:id="34" w:name="_GoBack"/>
      <w:bookmarkEnd w:id="34"/>
    </w:p>
    <w:sectPr>
      <w:footerReference r:id="rId5" w:type="default"/>
      <w:pgSz w:w="12240" w:h="15840"/>
      <w:pgMar w:top="1440" w:right="1440" w:bottom="1440" w:left="1440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29A73">
    <w:pPr>
      <w:pStyle w:val="24"/>
      <w:jc w:val="center"/>
    </w:pPr>
    <w:r>
      <w:rPr>
        <w:rFonts w:ascii="宋体" w:hAnsi="宋体" w:eastAsia="宋体"/>
        <w:b w:val="0"/>
        <w:sz w:val="18"/>
      </w:rPr>
      <w:t xml:space="preserve">第 </w:t>
    </w:r>
    <w:r>
      <w:rPr>
        <w:rFonts w:ascii="宋体" w:hAnsi="宋体" w:eastAsia="宋体"/>
        <w:b w:val="0"/>
        <w:sz w:val="18"/>
      </w:rPr>
      <w:fldChar w:fldCharType="begin"/>
    </w:r>
    <w:r>
      <w:rPr>
        <w:rFonts w:ascii="宋体" w:hAnsi="宋体" w:eastAsia="宋体"/>
        <w:b w:val="0"/>
        <w:sz w:val="18"/>
      </w:rPr>
      <w:instrText xml:space="preserve">PAGE</w:instrText>
    </w:r>
    <w:r>
      <w:rPr>
        <w:rFonts w:ascii="宋体" w:hAnsi="宋体" w:eastAsia="宋体"/>
        <w:b w:val="0"/>
        <w:sz w:val="18"/>
      </w:rPr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D79EE3"/>
    <w:rsid w:val="7AFF382A"/>
    <w:rsid w:val="7EFF7422"/>
    <w:rsid w:val="F46E5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自朗活</dc:creator>
  <dc:description>generated by python-docx</dc:description>
  <cp:lastModifiedBy>自朗活</cp:lastModifiedBy>
  <dcterms:modified xsi:type="dcterms:W3CDTF">2026-07-06T16:27:47Z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A21330CCBE0C413BE7664B6A48984A62_42</vt:lpwstr>
  </property>
</Properties>
</file>