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36"/>
        </w:rPr>
        <w:t>Plain-Language Walkthrough: Climate VaR-Inspired ETF Backtest</w:t>
      </w:r>
    </w:p>
    <w:p>
      <w:pPr>
        <w:jc w:val="center"/>
      </w:pPr>
      <w:r>
        <w:rPr>
          <w:i/>
        </w:rPr>
        <w:t>Prepared for CLMT5405 final project and capstone-style presentation practice</w:t>
      </w:r>
    </w:p>
    <w:p>
      <w:r>
        <w:rPr>
          <w:b/>
        </w:rPr>
        <w:t xml:space="preserve">One-sentence pitch: </w:t>
      </w:r>
      <w:r>
        <w:t>I build a simple climate-risk signal from public climate and disaster data, use it to adjust sector ETF weights, and test whether a $50 million climate-risk-aware portfolio would have outperformed an equal-weight benchmark after 2008.</w:t>
      </w:r>
    </w:p>
    <w:p>
      <w:pPr>
        <w:pStyle w:val="Heading1"/>
      </w:pPr>
      <w:r>
        <w:t>1. What The Project Is Doing</w:t>
      </w:r>
    </w:p>
    <w:p>
      <w:r>
        <w:rPr>
          <w:b/>
        </w:rPr>
        <w:t xml:space="preserve">Plain language: </w:t>
      </w:r>
      <w:r>
        <w:t>The project asks whether climate risk can be turned into an investment signal. I do not claim that climate directly causes stock returns. I use climate and disaster data to create a risk state, then test how a portfolio would behave if it adjusted sector exposure after high-risk years.</w:t>
      </w:r>
    </w:p>
    <w:p>
      <w:pPr>
        <w:pStyle w:val="ListBullet"/>
      </w:pPr>
      <w:r>
        <w:t>Climate input: NASA global temperature anomaly.</w:t>
      </w:r>
    </w:p>
    <w:p>
      <w:pPr>
        <w:pStyle w:val="ListBullet"/>
      </w:pPr>
      <w:r>
        <w:t>Physical damage proxy: NOAA U.S. billion-dollar disaster frequency.</w:t>
      </w:r>
    </w:p>
    <w:p>
      <w:pPr>
        <w:pStyle w:val="ListBullet"/>
      </w:pPr>
      <w:r>
        <w:t>Financial assets: U.S. sector ETFs from yfinance.</w:t>
      </w:r>
    </w:p>
    <w:p>
      <w:pPr>
        <w:pStyle w:val="ListBullet"/>
      </w:pPr>
      <w:r>
        <w:t>Portfolio test: $50 million invested from 2009 onward.</w:t>
      </w:r>
    </w:p>
    <w:p>
      <w:pPr>
        <w:pStyle w:val="Heading1"/>
      </w:pPr>
      <w:r>
        <w:t>2. How The Climate-Risk Score Is Calculated</w:t>
      </w:r>
    </w:p>
    <w:p>
      <w:r>
        <w:rPr>
          <w:b/>
        </w:rPr>
        <w:t xml:space="preserve">Formula: </w:t>
      </w:r>
      <w:r>
        <w:t>ClimateRisk = z(temperature anomaly) + z(disaster frequency).</w:t>
      </w:r>
    </w:p>
    <w:p>
      <w:r>
        <w:rPr>
          <w:b/>
        </w:rPr>
        <w:t xml:space="preserve">Meaning: </w:t>
      </w:r>
      <w:r>
        <w:t>A z-score measures how unusual a year is compared with the average. A year gets a high score when temperature anomaly is high and disaster frequency is also high. High-climate-risk years are the top 25% of this score.</w:t>
      </w:r>
    </w:p>
    <w:p>
      <w:pPr>
        <w:pStyle w:val="ListNumber"/>
      </w:pPr>
      <w:r>
        <w:t>Read NASA temperature anomaly data.</w:t>
      </w:r>
    </w:p>
    <w:p>
      <w:pPr>
        <w:pStyle w:val="ListNumber"/>
      </w:pPr>
      <w:r>
        <w:t>Read NOAA disaster frequency data.</w:t>
      </w:r>
    </w:p>
    <w:p>
      <w:pPr>
        <w:pStyle w:val="ListNumber"/>
      </w:pPr>
      <w:r>
        <w:t>Standardize both series so they are comparable.</w:t>
      </w:r>
    </w:p>
    <w:p>
      <w:pPr>
        <w:pStyle w:val="ListNumber"/>
      </w:pPr>
      <w:r>
        <w:t>Add the two standardized values together.</w:t>
      </w:r>
    </w:p>
    <w:p>
      <w:pPr>
        <w:pStyle w:val="ListNumber"/>
      </w:pPr>
      <w:r>
        <w:t>Mark the top quartile as high-climate-risk years.</w:t>
      </w:r>
    </w:p>
    <w:p>
      <w:pPr>
        <w:pStyle w:val="Heading1"/>
      </w:pPr>
      <w:r>
        <w:t>3. What The ETFs Mean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b/>
              </w:rPr>
              <w:t>Ticker</w:t>
            </w:r>
          </w:p>
        </w:tc>
        <w:tc>
          <w:tcPr>
            <w:tcW w:type="dxa" w:w="3120"/>
            <w:vAlign w:val="center"/>
          </w:tcPr>
          <w:p>
            <w:r>
              <w:rPr>
                <w:b/>
              </w:rPr>
              <w:t>Sector</w:t>
            </w:r>
          </w:p>
        </w:tc>
        <w:tc>
          <w:tcPr>
            <w:tcW w:type="dxa" w:w="3120"/>
            <w:vAlign w:val="center"/>
          </w:tcPr>
          <w:p>
            <w:r>
              <w:rPr>
                <w:b/>
              </w:rPr>
              <w:t>Role in the project</w:t>
            </w:r>
          </w:p>
        </w:tc>
      </w:tr>
      <w:tr>
        <w:tc>
          <w:tcPr>
            <w:tcW w:type="dxa" w:w="3120"/>
            <w:vAlign w:val="center"/>
          </w:tcPr>
          <w:p>
            <w:r>
              <w:t>XLE</w:t>
            </w:r>
          </w:p>
        </w:tc>
        <w:tc>
          <w:tcPr>
            <w:tcW w:type="dxa" w:w="3120"/>
            <w:vAlign w:val="center"/>
          </w:tcPr>
          <w:p>
            <w:r>
              <w:t>Energy</w:t>
            </w:r>
          </w:p>
        </w:tc>
        <w:tc>
          <w:tcPr>
            <w:tcW w:type="dxa" w:w="3120"/>
            <w:vAlign w:val="center"/>
          </w:tcPr>
          <w:p>
            <w:r>
              <w:t>Lower weight after high climate risk because energy faces transition and policy risk.</w:t>
            </w:r>
          </w:p>
        </w:tc>
      </w:tr>
      <w:tr>
        <w:tc>
          <w:tcPr>
            <w:tcW w:type="dxa" w:w="3120"/>
            <w:vAlign w:val="center"/>
          </w:tcPr>
          <w:p>
            <w:r>
              <w:t>XLU</w:t>
            </w:r>
          </w:p>
        </w:tc>
        <w:tc>
          <w:tcPr>
            <w:tcW w:type="dxa" w:w="3120"/>
            <w:vAlign w:val="center"/>
          </w:tcPr>
          <w:p>
            <w:r>
              <w:t>Utilities</w:t>
            </w:r>
          </w:p>
        </w:tc>
        <w:tc>
          <w:tcPr>
            <w:tcW w:type="dxa" w:w="3120"/>
            <w:vAlign w:val="center"/>
          </w:tcPr>
          <w:p>
            <w:r>
              <w:t>Higher weight after high climate risk because utilities are defensive infrastructure assets.</w:t>
            </w:r>
          </w:p>
        </w:tc>
      </w:tr>
      <w:tr>
        <w:tc>
          <w:tcPr>
            <w:tcW w:type="dxa" w:w="3120"/>
            <w:vAlign w:val="center"/>
          </w:tcPr>
          <w:p>
            <w:r>
              <w:t>XLI</w:t>
            </w:r>
          </w:p>
        </w:tc>
        <w:tc>
          <w:tcPr>
            <w:tcW w:type="dxa" w:w="3120"/>
            <w:vAlign w:val="center"/>
          </w:tcPr>
          <w:p>
            <w:r>
              <w:t>Industrials</w:t>
            </w:r>
          </w:p>
        </w:tc>
        <w:tc>
          <w:tcPr>
            <w:tcW w:type="dxa" w:w="3120"/>
            <w:vAlign w:val="center"/>
          </w:tcPr>
          <w:p>
            <w:r>
              <w:t>Lower weight after high climate risk because industrials have physical asset and supply-chain exposure.</w:t>
            </w:r>
          </w:p>
        </w:tc>
      </w:tr>
      <w:tr>
        <w:tc>
          <w:tcPr>
            <w:tcW w:type="dxa" w:w="3120"/>
            <w:vAlign w:val="center"/>
          </w:tcPr>
          <w:p>
            <w:r>
              <w:t>XLK</w:t>
            </w:r>
          </w:p>
        </w:tc>
        <w:tc>
          <w:tcPr>
            <w:tcW w:type="dxa" w:w="3120"/>
            <w:vAlign w:val="center"/>
          </w:tcPr>
          <w:p>
            <w:r>
              <w:t>Technology</w:t>
            </w:r>
          </w:p>
        </w:tc>
        <w:tc>
          <w:tcPr>
            <w:tcW w:type="dxa" w:w="3120"/>
            <w:vAlign w:val="center"/>
          </w:tcPr>
          <w:p>
            <w:r>
              <w:t>Higher weight after high climate risk because technology can benefit from transition opportunities and has lower physical asset intensity.</w:t>
            </w:r>
          </w:p>
        </w:tc>
      </w:tr>
      <w:tr>
        <w:tc>
          <w:tcPr>
            <w:tcW w:type="dxa" w:w="3120"/>
            <w:vAlign w:val="center"/>
          </w:tcPr>
          <w:p>
            <w:r>
              <w:t>XLF</w:t>
            </w:r>
          </w:p>
        </w:tc>
        <w:tc>
          <w:tcPr>
            <w:tcW w:type="dxa" w:w="3120"/>
            <w:vAlign w:val="center"/>
          </w:tcPr>
          <w:p>
            <w:r>
              <w:t>Financials</w:t>
            </w:r>
          </w:p>
        </w:tc>
        <w:tc>
          <w:tcPr>
            <w:tcW w:type="dxa" w:w="3120"/>
            <w:vAlign w:val="center"/>
          </w:tcPr>
          <w:p>
            <w:r>
              <w:t>Kept as a smaller diversifying allocation.</w:t>
            </w:r>
          </w:p>
        </w:tc>
      </w:tr>
    </w:tbl>
    <w:p>
      <w:pPr>
        <w:pStyle w:val="Heading1"/>
      </w:pPr>
      <w:r>
        <w:t>4. How The Mock Portfolio Is Built</w:t>
      </w:r>
    </w:p>
    <w:p>
      <w:r>
        <w:rPr>
          <w:b/>
        </w:rPr>
        <w:t xml:space="preserve">Benchmark: </w:t>
      </w:r>
      <w:r>
        <w:t>20% in each sector ETF: XLE, XLU, XLI, XLK, and XLF.</w:t>
      </w:r>
    </w:p>
    <w:p>
      <w:r>
        <w:rPr>
          <w:b/>
        </w:rPr>
        <w:t xml:space="preserve">Climate-risk-aware portfolio: </w:t>
      </w:r>
      <w:r>
        <w:t>In normal years it uses the same equal weights. After a high-climate-risk year, it shifts to 5% XLE, 25% XLU, 5% XLI, 55% XLK, and 10% XLF.</w:t>
      </w:r>
    </w:p>
    <w:p>
      <w:r>
        <w:rPr>
          <w:b/>
        </w:rPr>
        <w:t xml:space="preserve">Important detail: </w:t>
      </w:r>
      <w:r>
        <w:t>The portfolio uses last year's climate-risk state to decide this year's allocation, so it does not use future information.</w:t>
      </w:r>
    </w:p>
    <w:p>
      <w:pPr>
        <w:pStyle w:val="Heading1"/>
      </w:pPr>
      <w:r>
        <w:t>5. How Monthly Returns Are Calculated</w:t>
      </w:r>
    </w:p>
    <w:p>
      <w:r>
        <w:rPr>
          <w:b/>
        </w:rPr>
        <w:t xml:space="preserve">Plain language: </w:t>
      </w:r>
      <w:r>
        <w:t>Each month, I multiply each ETF return by its portfolio weight, then add them together. Then I update the portfolio value by multiplying last month's value by one plus the monthly return.</w:t>
      </w:r>
    </w:p>
    <w:p>
      <w:pPr>
        <w:pStyle w:val="ListBullet"/>
      </w:pPr>
      <w:r>
        <w:t>Monthly portfolio return = weighted average of sector ETF monthly returns.</w:t>
      </w:r>
    </w:p>
    <w:p>
      <w:pPr>
        <w:pStyle w:val="ListBullet"/>
      </w:pPr>
      <w:r>
        <w:t>New portfolio value = old portfolio value x (1 + monthly return).</w:t>
      </w:r>
    </w:p>
    <w:p>
      <w:pPr>
        <w:pStyle w:val="ListBullet"/>
      </w:pPr>
      <w:r>
        <w:t>The backtest starts with $50 million after 2008.</w:t>
      </w:r>
    </w:p>
    <w:p>
      <w:pPr>
        <w:pStyle w:val="Heading1"/>
      </w:pPr>
      <w:r>
        <w:t>6. What Each Figure Shows</w:t>
      </w:r>
    </w:p>
    <w:p>
      <w:r>
        <w:rPr>
          <w:b/>
        </w:rPr>
        <w:t xml:space="preserve">Figure 1: Climate Data Overview: </w:t>
      </w:r>
      <w:r>
        <w:t>Shows the climate data foundation: temperature anomaly, total billion-dollar disaster frequency, and disaster type breakdown.</w:t>
      </w:r>
    </w:p>
    <w:p>
      <w:r>
        <w:rPr>
          <w:b/>
        </w:rPr>
        <w:t xml:space="preserve">Figure 2: Climate-Risk Score Over Time: </w:t>
      </w:r>
      <w:r>
        <w:t>Shows the signal used by the strategy. Orange bars are high-climate-risk years.</w:t>
      </w:r>
    </w:p>
    <w:p>
      <w:r>
        <w:rPr>
          <w:b/>
        </w:rPr>
        <w:t xml:space="preserve">Figure 3: Portfolio Rule: </w:t>
      </w:r>
      <w:r>
        <w:t>Shows how the ETF weights change after high-climate-risk years.</w:t>
      </w:r>
    </w:p>
    <w:p>
      <w:r>
        <w:rPr>
          <w:b/>
        </w:rPr>
        <w:t xml:space="preserve">Figure 4: $50 Million Backtest Result: </w:t>
      </w:r>
      <w:r>
        <w:t>Shows cumulative wealth and drawdown for the equal-weight benchmark and the climate-risk-aware mock portfolio.</w:t>
      </w:r>
    </w:p>
    <w:p>
      <w:r>
        <w:rPr>
          <w:b/>
        </w:rPr>
        <w:t xml:space="preserve">Figure 5: Annual Return Difference: </w:t>
      </w:r>
      <w:r>
        <w:t>Shows year-by-year returns for both portfolios and highlights when the climate-risk-aware portfolio outperforms or underperforms.</w:t>
      </w:r>
    </w:p>
    <w:p>
      <w:pPr>
        <w:pStyle w:val="Heading1"/>
      </w:pPr>
      <w:r>
        <w:t>7. Main Presentation Talking Points</w:t>
      </w:r>
    </w:p>
    <w:p>
      <w:pPr>
        <w:pStyle w:val="ListBullet"/>
      </w:pPr>
      <w:r>
        <w:t>This is a transparent Climate VaR-inspired workflow, not a black-box model.</w:t>
      </w:r>
    </w:p>
    <w:p>
      <w:pPr>
        <w:pStyle w:val="ListBullet"/>
      </w:pPr>
      <w:r>
        <w:t>The method turns climate data into a portfolio signal.</w:t>
      </w:r>
    </w:p>
    <w:p>
      <w:pPr>
        <w:pStyle w:val="ListBullet"/>
      </w:pPr>
      <w:r>
        <w:t>The strategy does not win every year, but the cumulative effect is meaningful in the backtest.</w:t>
      </w:r>
    </w:p>
    <w:p>
      <w:pPr>
        <w:pStyle w:val="ListBullet"/>
      </w:pPr>
      <w:r>
        <w:t>The strongest figure for presentation is the $50 million cumulative wealth chart.</w:t>
      </w:r>
    </w:p>
    <w:p>
      <w:pPr>
        <w:pStyle w:val="ListBullet"/>
      </w:pPr>
      <w:r>
        <w:t>The main limitation is that this is historical and descriptive, not causal or a real investment recommendation.</w:t>
      </w:r>
    </w:p>
    <w:p>
      <w:pPr>
        <w:pStyle w:val="Heading1"/>
      </w:pPr>
      <w:r>
        <w:t>8. Simple Answer If Asked: Why These Weights?</w:t>
      </w:r>
    </w:p>
    <w:p>
      <w:r>
        <w:rPr>
          <w:b/>
        </w:rPr>
        <w:t xml:space="preserve">Answer: </w:t>
      </w:r>
      <w:r>
        <w:t>The high-risk weights are designed to express the Climate VaR idea at the sector level. After high climate risk, the mock portfolio reduces exposure to energy and industrials, which may face more transition and physical risk, and increases exposure to technology and utilities, which can represent transition opportunity and defensive infrastructure exposure.</w:t>
      </w:r>
    </w:p>
    <w:p>
      <w:pPr>
        <w:pStyle w:val="Heading1"/>
      </w:pPr>
      <w:r>
        <w:t>9. Simple Answer If Asked: Is This A Real Trading Strategy?</w:t>
      </w:r>
    </w:p>
    <w:p>
      <w:r>
        <w:rPr>
          <w:b/>
        </w:rPr>
        <w:t xml:space="preserve">Answer: </w:t>
      </w:r>
      <w:r>
        <w:t>No. It is a classroom and capstone-style backtest that demonstrates how climate-risk methodology can be translated into portfolio allocation. It is useful for showing the concept and potential investment relevance, but it is not a causal claim or investment advice.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