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奶牛行为识别论文 v10 补充材料</w:t>
      </w:r>
    </w:p>
    <w:p>
      <w:r>
        <w:t>对应主文 融合多源短时历史信息与当前状态的奶牛行为识别</w:t>
      </w:r>
    </w:p>
    <w:p>
      <w:pPr>
        <w:pStyle w:val="Heading1"/>
        <w:spacing w:before="0" w:after="120"/>
      </w:pPr>
      <w:r>
        <w:t>表S1 全部模型配对比较的宏F1差值与95%区间</w:t>
      </w:r>
    </w:p>
    <w:tbl>
      <w:tblPr>
        <w:tblStyle w:val="32"/>
        <w:tblW w:w="9439" w:type="dxa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2"/>
        <w:gridCol w:w="2069"/>
        <w:gridCol w:w="2069"/>
        <w:gridCol w:w="2069"/>
      </w:tblGrid>
      <w:tr w14:paraId="4644996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7BA253AD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</w:rPr>
              <w:t>左侧方法 − 右侧方法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1D710B10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</w:rPr>
              <w:t>TS差值</w:t>
            </w:r>
            <w:r>
              <w:rPr>
                <w:b/>
                <w:sz w:val="19"/>
              </w:rPr>
              <w:br w:type="textWrapping"/>
            </w:r>
            <w:r>
              <w:rPr>
                <w:b/>
                <w:sz w:val="19"/>
              </w:rPr>
              <w:t>[时间块95%区间]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14C217F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</w:rPr>
              <w:t>OS差值</w:t>
            </w:r>
            <w:r>
              <w:rPr>
                <w:b/>
                <w:sz w:val="19"/>
              </w:rPr>
              <w:br w:type="textWrapping"/>
            </w:r>
            <w:r>
              <w:rPr>
                <w:b/>
                <w:sz w:val="19"/>
              </w:rPr>
              <w:t>[时间块95%区间]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751F2112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</w:rPr>
              <w:t>OS差值</w:t>
            </w:r>
            <w:r>
              <w:rPr>
                <w:b/>
                <w:sz w:val="19"/>
              </w:rPr>
              <w:br w:type="textWrapping"/>
            </w:r>
            <w:r>
              <w:rPr>
                <w:b/>
                <w:sz w:val="19"/>
              </w:rPr>
              <w:t>[牛只95%区间]</w:t>
            </w:r>
          </w:p>
        </w:tc>
      </w:tr>
      <w:tr w14:paraId="4CBD252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50BE444F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</w:rPr>
              <w:t>历史GRU − MmCows-RF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2E4F6B82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7.597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[6.296, 8.779]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37DC27C7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6.796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[5.577, 7.969]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13EED70F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6.796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[5.574, 7.503]</w:t>
            </w:r>
          </w:p>
        </w:tc>
      </w:tr>
      <w:tr w14:paraId="0E86EA6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0F4726AF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当前重复GRU − MmCows-RF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37A3AF10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2.094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[1.036, 3.036]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1D7FC817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3.408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[2.327, 4.501]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4A2BD493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3.408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[2.032, 4.091]</w:t>
            </w:r>
          </w:p>
        </w:tc>
      </w:tr>
      <w:tr w14:paraId="724BBFF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68DBA445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窗口统计RF − MmCows-RF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4D39DB02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4.878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[3.799, 6.094]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3F93C3CD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6.413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[5.090, 7.648]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22CB74C7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6.413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[5.047, 7.041]</w:t>
            </w:r>
          </w:p>
        </w:tc>
      </w:tr>
      <w:tr w14:paraId="63D688D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5F0F95F5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当前统计RF − MmCows-RF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73F8B955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2.099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[1.012, 3.089]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27EAF036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2.440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[1.263, 3.437]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7B0E04A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2.440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[1.550, 3.280]</w:t>
            </w:r>
          </w:p>
        </w:tc>
      </w:tr>
      <w:tr w14:paraId="374DD01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384C5CE0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MiniRocket − MmCows-RF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6493BCC3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-3.489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[-5.116, -2.333]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12BD784F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-1.813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[-3.332, -0.580]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09BD1EA8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-1.813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[-3.304, -0.828]</w:t>
            </w:r>
          </w:p>
        </w:tc>
      </w:tr>
      <w:tr w14:paraId="4FA1A76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3F352A58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LSTM − MmCows-RF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75A654F2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7.062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[5.803, 8.173]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0915C619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7.212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[5.957, 8.490]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235D5C10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7.212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[5.607, 8.066]</w:t>
            </w:r>
          </w:p>
        </w:tc>
      </w:tr>
      <w:tr w14:paraId="43D67CD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079F1EB7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Transformer − MmCows-RF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7E6A0A39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7.465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[6.393, 8.560]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4517324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8.058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[6.902, 9.129]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25F1AF15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8.058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[6.784, 8.784]</w:t>
            </w:r>
          </w:p>
        </w:tc>
      </w:tr>
      <w:tr w14:paraId="08B0264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167F1CA5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Transformer–LSTM − MmCows-RF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257A9AB1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7.110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[5.946, 8.212]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6B8D4D58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7.482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[6.401, 8.578]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26DD0907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7.482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[6.002, 8.501]</w:t>
            </w:r>
          </w:p>
        </w:tc>
      </w:tr>
      <w:tr w14:paraId="6BC2511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68B9A911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XGBoost − MmCows-RF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3597D641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7.124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[6.063, 8.209]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1D0356BB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5.823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[4.561, 7.159]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2422F29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5.823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[4.884, 6.669]</w:t>
            </w:r>
          </w:p>
        </w:tc>
      </w:tr>
      <w:tr w14:paraId="0FEBC7D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18ADDA51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TCN − MmCows-RF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609D0BBF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7.452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[5.891, 8.493]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03D892A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6.634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[5.360, 7.853]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267FCD18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6.634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[5.836, 7.318]</w:t>
            </w:r>
          </w:p>
        </w:tc>
      </w:tr>
      <w:tr w14:paraId="5F69620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635D7C4F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</w:rPr>
              <w:t>当前重复GRU − 历史GRU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1476C54F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-5.502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[-6.419, -4.673]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2B7C1CAD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-3.389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[-4.043, -2.685]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5364DC6F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-3.389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[-4.111, -2.992]</w:t>
            </w:r>
          </w:p>
        </w:tc>
      </w:tr>
      <w:tr w14:paraId="603ACD8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68E22F88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</w:rPr>
              <w:t>窗口统计RF − 历史GRU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48466CD1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-2.718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[-3.673, -1.564]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50C963CB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-0.383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[-1.426, 0.615]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590642BA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-0.383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[-0.992, 0.040]</w:t>
            </w:r>
          </w:p>
        </w:tc>
      </w:tr>
      <w:tr w14:paraId="5D3F3F6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4AECC7A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</w:rPr>
              <w:t>当前统计RF − 历史GRU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78B54B27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-5.498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[-6.505, -4.563]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5E111B6A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-4.356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[-5.465, -3.366]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5155A246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-4.356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[-5.093, -3.146]</w:t>
            </w:r>
          </w:p>
        </w:tc>
      </w:tr>
      <w:tr w14:paraId="0E70A33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5E713D4B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</w:rPr>
              <w:t>MiniRocket − 历史GRU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39495A63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-11.086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[-12.918, -9.794]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4E1D5045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-8.609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[-10.033, -7.289]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559D4BC5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-8.609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[-9.761, -7.673]</w:t>
            </w:r>
          </w:p>
        </w:tc>
      </w:tr>
      <w:tr w14:paraId="1C33B54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1231C52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</w:rPr>
              <w:t>LSTM − 历史GRU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1A662D89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-0.535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[-0.990, -0.085]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5CEDA09B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0.415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[-0.127, 0.983]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23375139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0.415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[-0.080, 0.738]</w:t>
            </w:r>
          </w:p>
        </w:tc>
      </w:tr>
      <w:tr w14:paraId="61C73BE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06BF0A4A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</w:rPr>
              <w:t>Transformer − 历史GRU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69FA7F03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-0.131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[-0.763, 0.702]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49E796E4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1.262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[0.607, 1.893]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54948BE2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1.262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[0.698, 1.750]</w:t>
            </w:r>
          </w:p>
        </w:tc>
      </w:tr>
      <w:tr w14:paraId="624E0DF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335144B0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</w:rPr>
              <w:t>Transformer–LSTM − 历史GRU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4FC4E9E1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-0.486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[-1.084, 0.083]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504D43B0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0.686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[0.055, 1.268]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3F2AA6C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0.686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[0.125, 1.251]</w:t>
            </w:r>
          </w:p>
        </w:tc>
      </w:tr>
      <w:tr w14:paraId="11D4891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6779BFF9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</w:rPr>
              <w:t>XGBoost − 历史GRU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44C6A31A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-0.473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[-1.283, 0.440]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136BE8A7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-0.973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[-1.871, -0.050]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2DC8F7BB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-0.973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[-1.283, -0.283]</w:t>
            </w:r>
          </w:p>
        </w:tc>
      </w:tr>
      <w:tr w14:paraId="3B26F86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219C0E20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b/>
                <w:sz w:val="19"/>
              </w:rPr>
              <w:t>TCN − 历史GRU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7AD6A223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-0.145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[-1.414, 0.528]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1717019E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-0.162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[-1.049, 0.590]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68A5C943">
            <w:pPr>
              <w:keepNext/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-0.162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[-0.657, 0.691]</w:t>
            </w:r>
          </w:p>
        </w:tc>
      </w:tr>
      <w:tr w14:paraId="47FAAA9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6113E121">
            <w:pPr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窗口统计RF − 当前统计RF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52B08FCB">
            <w:pPr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2.780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[2.042, 3.689]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5A8952A9">
            <w:pPr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3.973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[3.029, 5.004]</w:t>
            </w:r>
          </w:p>
        </w:tc>
        <w:tc>
          <w:tcPr>
            <w:tcW w:w="206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6134F728">
            <w:pPr>
              <w:spacing w:after="0" w:line="252" w:lineRule="auto"/>
              <w:ind w:left="0" w:right="0" w:firstLine="0"/>
              <w:jc w:val="center"/>
            </w:pPr>
            <w:r>
              <w:rPr>
                <w:sz w:val="19"/>
              </w:rPr>
              <w:t>3.973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[2.575, 4.664]</w:t>
            </w:r>
          </w:p>
        </w:tc>
      </w:tr>
    </w:tbl>
    <w:p w14:paraId="766F8D17">
      <w:pPr>
        <w:pStyle w:val="19"/>
      </w:pPr>
      <w:r>
        <w:t>注：差值和区间均以百分点表示，差值方向为左侧方法减右侧方法。共20种对照、TS和OS合计40组配对比较；OS另列牛只重采样区间。GRU为主文表4的验证选型配置。方法名称加粗表示该行涉及本文历史GRU；全部比较未作多重比较校正。差值由未舍入结果计算。</w:t>
      </w:r>
    </w:p>
    <w:p>
      <w:pPr>
        <w:pStyle w:val="Heading1"/>
        <w:pageBreakBefore w:val="1"/>
      </w:pPr>
      <w:r>
        <w:t>表S2 历史编码器配置与完整模型参数量</w:t>
      </w:r>
    </w:p>
    <w:p w14:paraId="6AEA7363">
      <w:pPr>
        <w:pStyle w:val="19"/>
      </w:pPr>
      <w:r>
        <w:t>表S2列出五种历史编码器的结构与完整模型参数量。各分支将输入投影至32维并采用GELU激活，最终输出64维表示；当前重复GRU与本文GRU具有相同结构，将端点输入重复至60步。参数量包括三个模态分支和共同分类头。</w:t>
      </w:r>
    </w:p>
    <w:tbl>
      <w:tblPr>
        <w:tblStyle w:val="32"/>
        <w:tblW w:w="9638" w:type="dxa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350"/>
        <w:gridCol w:w="1587"/>
      </w:tblGrid>
      <w:tr w14:paraId="2B7DC3D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1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683D96FD">
            <w:pPr>
              <w:keepNext/>
              <w:spacing w:before="20" w:after="20" w:line="26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w="635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1DD65C5A">
            <w:pPr>
              <w:keepNext/>
              <w:spacing w:before="20" w:after="20" w:line="26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>每模态编码器设置</w:t>
            </w:r>
          </w:p>
        </w:tc>
        <w:tc>
          <w:tcPr>
            <w:tcW w:w="158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43A1A683">
            <w:pPr>
              <w:keepNext/>
              <w:spacing w:before="20" w:after="20" w:line="269" w:lineRule="auto"/>
              <w:ind w:left="0" w:right="0" w:firstLine="0"/>
              <w:jc w:val="center"/>
            </w:pPr>
            <w:r>
              <w:rPr>
                <w:b/>
                <w:sz w:val="20"/>
              </w:rPr>
              <w:t>完整模型参数量</w:t>
            </w:r>
          </w:p>
        </w:tc>
      </w:tr>
      <w:tr w14:paraId="01B1EAE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12CDBC56">
            <w:pPr>
              <w:spacing w:before="20" w:after="20" w:line="269" w:lineRule="auto"/>
              <w:ind w:left="0" w:right="0" w:firstLine="0"/>
              <w:jc w:val="center"/>
            </w:pPr>
            <w:r>
              <w:rPr>
                <w:sz w:val="20"/>
              </w:rPr>
              <w:t>GRU（本文）</w:t>
            </w:r>
          </w:p>
        </w:tc>
        <w:tc>
          <w:tcPr>
            <w:tcW w:w="635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79BEE470">
            <w:pPr>
              <w:spacing w:before="20" w:after="20" w:line="269" w:lineRule="auto"/>
              <w:ind w:left="0" w:right="0" w:firstLine="0"/>
              <w:jc w:val="center"/>
            </w:pPr>
            <w:r>
              <w:rPr>
                <w:sz w:val="20"/>
              </w:rPr>
              <w:t>每模态32维投影→单层单向GRU（隐藏维度64）→64维末步读出→LayerNorm。</w:t>
            </w:r>
          </w:p>
        </w:tc>
        <w:tc>
          <w:tcPr>
            <w:tcW w:w="158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2B4E9B8B">
            <w:pPr>
              <w:spacing w:before="20" w:after="20" w:line="269" w:lineRule="auto"/>
              <w:ind w:left="0" w:right="0" w:firstLine="0"/>
              <w:jc w:val="center"/>
            </w:pPr>
            <w:r>
              <w:rPr>
                <w:sz w:val="20"/>
              </w:rPr>
              <w:t>86,695</w:t>
            </w:r>
          </w:p>
        </w:tc>
      </w:tr>
      <w:tr w14:paraId="2A353F6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218D7DBB">
            <w:pPr>
              <w:spacing w:before="20" w:after="20" w:line="269" w:lineRule="auto"/>
              <w:ind w:left="0" w:right="0" w:firstLine="0"/>
              <w:jc w:val="center"/>
            </w:pPr>
            <w:r>
              <w:rPr>
                <w:sz w:val="20"/>
              </w:rPr>
              <w:t>LSTM</w:t>
            </w:r>
          </w:p>
        </w:tc>
        <w:tc>
          <w:tcPr>
            <w:tcW w:w="635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4C1D324C">
            <w:pPr>
              <w:spacing w:before="20" w:after="20" w:line="269" w:lineRule="auto"/>
              <w:ind w:left="0" w:right="0" w:firstLine="0"/>
              <w:jc w:val="center"/>
            </w:pPr>
            <w:r>
              <w:rPr>
                <w:sz w:val="20"/>
              </w:rPr>
              <w:t>每模态32维投影→单层单向LSTM（隐藏维度48）→线性映射48→64→LayerNorm。</w:t>
            </w:r>
          </w:p>
        </w:tc>
        <w:tc>
          <w:tcPr>
            <w:tcW w:w="158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171F6368">
            <w:pPr>
              <w:spacing w:before="20" w:after="20" w:line="269" w:lineRule="auto"/>
              <w:ind w:left="0" w:right="0" w:firstLine="0"/>
              <w:jc w:val="center"/>
            </w:pPr>
            <w:r>
              <w:rPr>
                <w:sz w:val="20"/>
              </w:rPr>
              <w:t>86,887</w:t>
            </w:r>
          </w:p>
        </w:tc>
      </w:tr>
      <w:tr w14:paraId="12FF118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57CF5712">
            <w:pPr>
              <w:spacing w:before="20" w:after="20" w:line="269" w:lineRule="auto"/>
              <w:ind w:left="0" w:right="0" w:firstLine="0"/>
              <w:jc w:val="center"/>
            </w:pPr>
            <w:r>
              <w:rPr>
                <w:sz w:val="20"/>
              </w:rPr>
              <w:t>Transformer</w:t>
            </w:r>
          </w:p>
        </w:tc>
        <w:tc>
          <w:tcPr>
            <w:tcW w:w="635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484C2DE6">
            <w:pPr>
              <w:spacing w:before="20" w:after="20" w:line="269" w:lineRule="auto"/>
              <w:ind w:left="0" w:right="0" w:firstLine="0"/>
              <w:jc w:val="center"/>
            </w:pPr>
            <w:r>
              <w:rPr>
                <w:sz w:val="20"/>
              </w:rPr>
              <w:t>每模态32维投影→固定32维正弦位置编码→2层Transformer编码器（4头注意力，前馈维度64，GELU，Dropout 0.1，前置LayerNorm）→线性映射32→64→LayerNorm；采用上三角因果掩码及有效性padding掩码。</w:t>
            </w:r>
          </w:p>
        </w:tc>
        <w:tc>
          <w:tcPr>
            <w:tcW w:w="158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2D899AA9">
            <w:pPr>
              <w:spacing w:before="20" w:after="20" w:line="269" w:lineRule="auto"/>
              <w:ind w:left="0" w:right="0" w:firstLine="0"/>
              <w:jc w:val="center"/>
            </w:pPr>
            <w:r>
              <w:rPr>
                <w:sz w:val="20"/>
              </w:rPr>
              <w:t>87,847</w:t>
            </w:r>
          </w:p>
        </w:tc>
      </w:tr>
      <w:tr w14:paraId="30B3FE2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5E500A22">
            <w:pPr>
              <w:spacing w:before="20" w:after="20" w:line="269" w:lineRule="auto"/>
              <w:ind w:left="0" w:right="0" w:firstLine="0"/>
              <w:jc w:val="center"/>
            </w:pPr>
            <w:r>
              <w:rPr>
                <w:sz w:val="20"/>
              </w:rPr>
              <w:t>Transformer–LSTM</w:t>
            </w:r>
          </w:p>
        </w:tc>
        <w:tc>
          <w:tcPr>
            <w:tcW w:w="635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3FA1ACFE">
            <w:pPr>
              <w:spacing w:before="20" w:after="20" w:line="269" w:lineRule="auto"/>
              <w:ind w:left="0" w:right="0" w:firstLine="0"/>
              <w:jc w:val="center"/>
            </w:pPr>
            <w:r>
              <w:rPr>
                <w:sz w:val="20"/>
              </w:rPr>
              <w:t>每模态32维投影及固定正弦位置编码→1层Transformer编码器（32维，4头，前馈维度64，GELU，Dropout 0.1，前置LayerNorm）→单层单向LSTM（隐藏维度32）→线性映射32→64→LayerNorm；注意力采用相同因果及有效性掩码。</w:t>
            </w:r>
          </w:p>
        </w:tc>
        <w:tc>
          <w:tcPr>
            <w:tcW w:w="158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387662AB">
            <w:pPr>
              <w:spacing w:before="20" w:after="20" w:line="269" w:lineRule="auto"/>
              <w:ind w:left="0" w:right="0" w:firstLine="0"/>
              <w:jc w:val="center"/>
            </w:pPr>
            <w:r>
              <w:rPr>
                <w:sz w:val="20"/>
              </w:rPr>
              <w:t>87,559</w:t>
            </w:r>
          </w:p>
        </w:tc>
      </w:tr>
      <w:tr w14:paraId="584BC42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042A1BAD">
            <w:pPr>
              <w:spacing w:before="20" w:after="20" w:line="269" w:lineRule="auto"/>
              <w:ind w:left="0" w:right="0" w:firstLine="0"/>
              <w:jc w:val="center"/>
            </w:pPr>
            <w:r>
              <w:rPr>
                <w:sz w:val="20"/>
              </w:rPr>
              <w:t>TCN</w:t>
            </w:r>
          </w:p>
        </w:tc>
        <w:tc>
          <w:tcPr>
            <w:tcW w:w="635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5E7478D6">
            <w:pPr>
              <w:spacing w:before="20" w:after="20" w:line="269" w:lineRule="auto"/>
              <w:ind w:left="0" w:right="0" w:firstLine="0"/>
              <w:jc w:val="center"/>
            </w:pPr>
            <w:r>
              <w:rPr>
                <w:sz w:val="20"/>
              </w:rPr>
              <w:t>每模态32维投影→23通道映射→5个因果残差块；每块含2个核大小为3的卷积，膨胀率依次为1、2、4、8、16，每个卷积后采用逐时间步通道LayerNorm、GELU和Dropout 0.1；最终23→64映射与LayerNorm。理论感受野125步，实际输入窗口60步。</w:t>
            </w:r>
          </w:p>
        </w:tc>
        <w:tc>
          <w:tcPr>
            <w:tcW w:w="158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 w14:paraId="354CA467">
            <w:pPr>
              <w:spacing w:before="20" w:after="20" w:line="269" w:lineRule="auto"/>
              <w:ind w:left="0" w:right="0" w:firstLine="0"/>
              <w:jc w:val="center"/>
            </w:pPr>
            <w:r>
              <w:rPr>
                <w:sz w:val="20"/>
              </w:rPr>
              <w:t>86,812</w:t>
            </w:r>
          </w:p>
        </w:tc>
      </w:tr>
    </w:tbl>
    <w:p w14:paraId="6DB109F8">
      <w:pPr>
        <w:pStyle w:val="19"/>
      </w:pPr>
      <w:r>
        <w:rPr>
          <w:sz w:val="21"/>
        </w:rPr>
        <w:t>注：表中LayerNorm为层归一化，Dropout为随机失活。各模型的64维分支表示均按端点有效性进行确定性门控，再与26维当前状态融合。注意力分支在因果前缀全部缺失时保留首个缺失位置作为数值占位，其有效性标记仍为零。</w:t>
      </w:r>
    </w:p>
    <w:p w14:paraId="3BD86E53">
      <w:pPr>
        <w:pStyle w:val="19"/>
      </w:pPr>
      <w:r>
        <w:rPr>
          <w:sz w:val="21"/>
        </w:rPr>
        <w:t>可执行实现、精确配置及结果文件映射见代码与数据包的README与文件校验清单。材料按数据准备、历史/当前控制、替代表示、固定20轮组件分析和保存结果复算组织；主文表3—8及本文件表S1的来源在包内逐项列出。</w:t>
      </w:r>
    </w:p>
    <w:p>
      <w:pPr>
        <w:pStyle w:val="Heading1"/>
        <w:pageBreakBefore w:val="1"/>
      </w:pPr>
      <w:r>
        <w:t>表S3 七类目标数与操作定义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1020"/>
        <w:gridCol w:w="907"/>
        <w:gridCol w:w="5953"/>
      </w:tblGrid>
      <w:tr>
        <w:trPr>
          <w:cantSplit/>
          <w:tblHeader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行为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目标数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比例/%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原任务的可观察判据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行走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694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1.48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相邻帧之间从一个位置移动到另一个位置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站立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12,547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26.80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腿直立，且头部不在采食区域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抬头采食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3,370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7.20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头部在采食区域，嘴高于饲料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低头采食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5,323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11.37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头部在采食区域，嘴接触饲料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舔舐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390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0.83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舔舐矿物质（盐）块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饮水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556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1.19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在水槽处饮水，嘴接触水面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躺卧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23,941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51.13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牛在卧栏中躺卧</w:t>
            </w:r>
          </w:p>
        </w:tc>
      </w:tr>
    </w:tbl>
    <w:p/>
    <w:p>
      <w:r>
        <w:t>判据沿用MmCows（主文参考文献[3]）。采食与站立同时发生时优先记为采食；抬头采食是采食区域内抬头状态，不等同于逐帧确认摄食。</w:t>
      </w:r>
    </w:p>
    <w:p>
      <w:pPr>
        <w:pStyle w:val="Heading1"/>
      </w:pPr>
      <w:r>
        <w:t>表S4 逐牛正式目标数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牛号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C01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C02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C03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C04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C05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目标数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4,692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4,695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4,681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4,704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4,658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牛号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C06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C07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C08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C09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C10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目标数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4,693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4,694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4,682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4,673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4,649</w:t>
            </w:r>
          </w:p>
        </w:tc>
      </w:tr>
    </w:tbl>
    <w:p/>
    <w:p>
      <w:r>
        <w:t>原始收据中的UWB记录合计57,372行，官方同步、未知标签剔除及完整性筛选后保留46,821个唯一目标，总量差为10,551。各步骤单独排除数未在历史收据中保存，随包提供原加载器及重算入口，不将该差额分配给未经重建的单一步骤。逐牛逐类计数见代码与数据包内evidence/COW_CLASS_SUPPORT.csv。</w:t>
      </w:r>
    </w:p>
    <w:p>
      <w:r>
        <w:br w:type="page"/>
      </w:r>
    </w:p>
    <w:p>
      <w:pPr>
        <w:pStyle w:val="Heading1"/>
      </w:pPr>
      <w:r>
        <w:t>表S5 各折选型与正式评价规模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397"/>
        <w:gridCol w:w="1247"/>
        <w:gridCol w:w="1191"/>
        <w:gridCol w:w="1247"/>
        <w:gridCol w:w="1191"/>
        <w:gridCol w:w="3175"/>
      </w:tblGrid>
      <w:tr>
        <w:trPr>
          <w:cantSplit/>
          <w:tblHeader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协议</w:t>
            </w:r>
          </w:p>
        </w:tc>
        <w:tc>
          <w:tcPr>
            <w:tcW w:type="dxa" w:w="3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折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TRAIN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VAL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Fit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Test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测试牛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TS</w:t>
            </w:r>
          </w:p>
        </w:tc>
        <w:tc>
          <w:tcPr>
            <w:tcW w:type="dxa" w:w="3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27563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10231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37794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9027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C01—C10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TS</w:t>
            </w:r>
          </w:p>
        </w:tc>
        <w:tc>
          <w:tcPr>
            <w:tcW w:type="dxa" w:w="3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28516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9027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37543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9278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C01—C10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TS</w:t>
            </w:r>
          </w:p>
        </w:tc>
        <w:tc>
          <w:tcPr>
            <w:tcW w:type="dxa" w:w="3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29682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9278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38960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7861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C01—C10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TS</w:t>
            </w:r>
          </w:p>
        </w:tc>
        <w:tc>
          <w:tcPr>
            <w:tcW w:type="dxa" w:w="3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28536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7861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36397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10424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C01—C10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TS</w:t>
            </w:r>
          </w:p>
        </w:tc>
        <w:tc>
          <w:tcPr>
            <w:tcW w:type="dxa" w:w="3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26166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10424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36590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10231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C01—C10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OS</w:t>
            </w:r>
          </w:p>
        </w:tc>
        <w:tc>
          <w:tcPr>
            <w:tcW w:type="dxa" w:w="3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28123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9376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37499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9322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9,10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OS</w:t>
            </w:r>
          </w:p>
        </w:tc>
        <w:tc>
          <w:tcPr>
            <w:tcW w:type="dxa" w:w="3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28112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9322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37434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9387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1,2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OS</w:t>
            </w:r>
          </w:p>
        </w:tc>
        <w:tc>
          <w:tcPr>
            <w:tcW w:type="dxa" w:w="3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28049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9387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37436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9385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3,4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OS</w:t>
            </w:r>
          </w:p>
        </w:tc>
        <w:tc>
          <w:tcPr>
            <w:tcW w:type="dxa" w:w="3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28085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9385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37470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9351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5,6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OS</w:t>
            </w:r>
          </w:p>
        </w:tc>
        <w:tc>
          <w:tcPr>
            <w:tcW w:type="dxa" w:w="3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28094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9351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37445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9376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7,8</w:t>
            </w:r>
          </w:p>
        </w:tc>
      </w:tr>
    </w:tbl>
    <w:p/>
    <w:p>
      <w:r>
        <w:t>TRAIN/VAL用于选型；Fit为TRAIN与VAL合并后的正式拟合集。各协议五折Test恰好无重复覆盖同一46,821个目标，划分角色的精确牛号—时间戳—标签清单见代码与数据包。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4082"/>
        <w:gridCol w:w="1871"/>
        <w:gridCol w:w="1814"/>
      </w:tblGrid>
      <w:tr>
        <w:trPr>
          <w:cantSplit/>
          <w:tblHeader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OS折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TRAIN牛号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VAL牛号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Test牛号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1,2,3,4,5,6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7,8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9,10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3,4,5,6,7,8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9,10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1,2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5,6,7,8,9,10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1,2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3,4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1,2,7,8,9,10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3,4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5,6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1,2,3,4,9,10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5,6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7,8</w:t>
            </w:r>
          </w:p>
        </w:tc>
      </w:tr>
    </w:tbl>
    <w:p/>
    <w:p>
      <w:r>
        <w:t>牛号仅用于样本定位与角色隔离，不作为模型特征。时间目标与窗口相互重叠；训练种子、五折及bootstrap重复不视作新的动物观察单位。每折/每角色的七类支持数见FOLD_ROLE_CLASS_SUPPORT.csv。</w:t>
      </w:r>
    </w:p>
    <w:p>
      <w:r>
        <w:br w:type="page"/>
      </w:r>
    </w:p>
    <w:p>
      <w:pPr>
        <w:pStyle w:val="Heading1"/>
      </w:pPr>
      <w:r>
        <w:t>表S6 TS时间区间与五折角色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402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时间段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开始时刻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结束时刻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group_1_1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02:57:18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04:30:00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group_1_2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04:30:00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06:00:00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group_1_3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18:00:00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20:00:00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group_1_4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20:00:00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22:00:00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group_1_5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22:00:00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23:57:16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group_2_1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06:00:00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08:24:00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group_2_2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08:24:00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10:48:00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group_2_3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10:48:00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13:12:00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group_2_4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13:12:00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15:36:00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group_2_5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15:36:00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18:00:00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1984"/>
        <w:gridCol w:w="1984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折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TRAIN段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VAL段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Test段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1_1,1_2,1_3,2_1,2_2,2_3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1_4,2_4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1_5,2_5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1_2,1_3,1_4,2_2,2_3,2_4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1_5,2_5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1_1,2_1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1_3,1_4,1_5,2_3,2_4,2_5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1_1,2_1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1_2,2_2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1_1,1_4,1_5,2_1,2_4,2_5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1_2,2_2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1_3,2_3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1_1,1_2,1_5,2_1,2_2,2_5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1_3,2_3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1_4,2_4</w:t>
            </w:r>
          </w:p>
        </w:tc>
      </w:tr>
    </w:tbl>
    <w:p/>
    <w:p>
      <w:r>
        <w:t>日期均为2023年7月25日，时区America/Chicago（UTC−5），区间左闭右开；每段均包含C01—C10。角色组合在正式Fit阶段合并TRAIN与VAL；窗口来源仍按所用阶段的角色边界约束。原Unix时间戳及未缩写段名见OFFICIAL_ROLE_RANGES.csv。</w:t>
      </w:r>
    </w:p>
    <w:p>
      <w:r>
        <w:br w:type="page"/>
      </w:r>
    </w:p>
    <w:p>
      <w:pPr>
        <w:pStyle w:val="Heading1"/>
      </w:pPr>
      <w:r>
        <w:t>表S7 110维窗口描述符定义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701"/>
        <w:gridCol w:w="5726"/>
      </w:tblGrid>
      <w:tr>
        <w:trPr>
          <w:cantSplit/>
          <w:tblHeader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19"/>
              </w:rPr>
              <w:t>作用对象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19"/>
              </w:rPr>
              <w:t>描述符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19"/>
              </w:rPr>
              <w:t>计算口径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数值通道×10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端点值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窗口末端标准化观测值；无效时为0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数值通道×10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端点有效性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末端该通道是否有效，二元值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数值通道×10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保持网格均值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仅对有效网格值求均值，持有值按网格出现次数计入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数值通道×10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保持网格标准差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有效网格的总体标准差，分母为有效网格数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数值通道×10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最小值/最大值/极差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各1维；无有效支持时三项均置0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数值通道×10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有效网格数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60步内该数值通道有效的网格数量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数值通道×10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无支持标记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有效网格数为0时取1，否则0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模态×3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更新网格数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该模态60步fresh标记之和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模态×3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覆盖率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该模态至少一个通道有效的网格比例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模态×3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端点更新标记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末端fresh标记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模态×3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端点来源年龄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秒；非有限值替换并裁剪至[0,60]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UWB运动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来源组数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三维位置完整且同组坐标一致后，按来源时刻去重计数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UWB运动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来源跨度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最后与最早有效来源时刻之差，秒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UWB运动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XY净位移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首末来源位置XY平面欧氏距离，米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UWB运动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XY路径长度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相邻来源XY平面距离之和，米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UWB运动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平均XY速度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相邻来源XY距离/时间差的算术平均，米/秒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UWB运动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最大XY速度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相邻来源XY速度的最大值，米/秒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UWB运动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Z标准差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来源组位置Z坐标总体标准差，米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UWB运动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来源对不足标记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19"/>
              </w:rPr>
              <w:t>有效来源组数少于2时取1，否则0</w:t>
            </w:r>
          </w:p>
        </w:tc>
      </w:tr>
    </w:tbl>
    <w:p/>
    <w:p>
      <w:r>
        <w:t>最小值/最大值/极差各占1项，因此每数值通道共9项，10通道合计90维；每模态4项元数据共12维，UWB运动8维，总计110维。UWB运动计算先反标准化回米；同一来源组位置差的容差为10⁻⁶米，来源时刻归组容差为10⁻⁷秒。来源组少于2时，跨度、位移、路径、速度与Z标准差置0，另保留来源组数及不足标记。当前统计控制重复端点表示，运动来源数至多1，其不足标记为1。</w:t>
      </w:r>
    </w:p>
    <w:p>
      <w:r>
        <w:br w:type="page"/>
      </w:r>
    </w:p>
    <w:p>
      <w:pPr>
        <w:pStyle w:val="Heading1"/>
      </w:pPr>
      <w:r>
        <w:t>示例图定位与复现材料索引</w:t>
      </w:r>
    </w:p>
    <w:p>
      <w:r>
        <w:t>本文件集中列出补充表S1—S7，涵盖完整配对比较、编码器配置、目标构成、划分角色、特征定义及图例定位，与主文引用一一对应。</w:t>
      </w:r>
    </w:p>
    <w:p>
      <w:pPr>
        <w:pStyle w:val="Heading1"/>
      </w:pPr>
      <w:r>
        <w:t>图2 对齐实例</w:t>
      </w:r>
    </w:p>
    <w:p>
      <w:r>
        <w:t>图2取开发阶段TRAIN角色的C01，端点Unix时间戳1690271910，标签为低头采食。该键不属于正式46,821个计分目标，仅用于展示既有缓存的过去对齐过程；图中数值由保存的标准化参数反变换用于显示，未重新拟合参数。来源角色、目标边界、原始点及显示网格见FIGURE2_EXACT_TARGET_KEY.json和plot_data。</w:t>
      </w:r>
    </w:p>
    <w:p>
      <w:pPr>
        <w:pStyle w:val="Heading1"/>
      </w:pPr>
      <w:r>
        <w:t>图5 正式目标片段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928"/>
        <w:gridCol w:w="680"/>
        <w:gridCol w:w="2551"/>
        <w:gridCol w:w="2494"/>
      </w:tblGrid>
      <w:tr>
        <w:trPr>
          <w:cantSplit/>
          <w:tblHeader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片段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协议与模型</w:t>
            </w: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牛号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首目标时间戳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EEEEE"/>
          </w:tcPr>
          <w:p>
            <w:pPr>
              <w:spacing w:after="40" w:before="40" w:line="240" w:lineRule="auto"/>
              <w:jc w:val="center"/>
            </w:pPr>
            <w:r>
              <w:rPr>
                <w:b/>
                <w:sz w:val="20"/>
              </w:rPr>
              <w:t>末目标时间戳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a 持续躺卧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TS第1折</w:t>
              <w:br/>
              <w:t>种子17</w:t>
            </w: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C01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1690324901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1690325351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b 含行走切换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TS第1折</w:t>
              <w:br/>
              <w:t>种子17</w:t>
            </w: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C01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1690319591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sz w:val="20"/>
              </w:rPr>
              <w:t>1690320041</w:t>
            </w:r>
          </w:p>
        </w:tc>
      </w:tr>
    </w:tbl>
    <w:p/>
    <w:p>
      <w:r>
        <w:t>两段各31点，相邻目标间隔15秒。先按牛号和时间排序，再分别选首个满足稳定单类、或含至少2个行走目标且含其他类别的连续片段；不按预测正确率排序。完整62个目标键、真实标签及两模型预测位于FIGURE5_EXACT_TARGET_KEYS.csv及case_a.csv/case_b.csv。图5不表示目标间的连续预测。</w:t>
      </w:r>
    </w:p>
    <w:p>
      <w:pPr>
        <w:pStyle w:val="Heading1"/>
      </w:pPr>
      <w:r>
        <w:t>代码与数据包</w:t>
      </w:r>
    </w:p>
    <w:p>
      <w:r>
        <w:t>公开资料仓库采用固定标签paper-v10-20261019-r2，包含代码、配置、结果、逐目标预测、图表源数据及40个原始CSV的数据子集下载入口。运行verify_saved_results.py可核对主要表格与样本分布；运行verify_predictions.py --bootstrap可复算保存预测的均值与条件配对区间。</w:t>
      </w:r>
    </w:p>
    <w:p>
      <w:r>
        <w:t>本文实际使用的2023年7月25日、C01—C10传感器与标签CSV以GitHub Release附件提供，运行data/download_dataset.py可下载并校验。完整MmCows数据由原作者渠道提供，原始数据与第三方源码均保留其来源及许可。</w:t>
      </w:r>
    </w:p>
    <w:p>
      <w:r>
        <w:t>本文项目仓库：</w:t>
      </w:r>
      <w:hyperlink r:id="rIdPublicDataset20261019">
        <w:r>
          <w:rPr>
            <w:color w:val="0563C1"/>
            <w:u w:val="single"/>
          </w:rPr>
          <w:t>https://github.com/ziluo8080/Cattle_Behavior_Recognition_Paper</w:t>
        </w:r>
      </w:hyperlink>
      <w:r>
        <w:t>；原始数据项目：https://github.com/neis-lab/mmcows。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PublicDataset20261019" Type="http://schemas.openxmlformats.org/officeDocument/2006/relationships/hyperlink" Target="https://github.com/ziluo8080/Cattle_Behavior_Recognition_Pap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奶牛行为识别论文 v10 补充材料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