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C6FBE">
      <w:pPr>
        <w:pStyle w:val="26"/>
        <w:ind w:firstLine="0"/>
      </w:pPr>
      <w:bookmarkStart w:id="0" w:name="通俗摘要"/>
      <w:r>
        <w:t>研究论文 · 中文工作稿</w:t>
      </w:r>
    </w:p>
    <w:p w14:paraId="12CEE5A0">
      <w:pPr>
        <w:pStyle w:val="31"/>
        <w:ind w:firstLine="0"/>
      </w:pPr>
      <w:r>
        <w:t>牛只身份识别的完整候选库比较与探索性外部迁移分析</w:t>
      </w:r>
    </w:p>
    <w:p w14:paraId="0DA6AC03">
      <w:pPr>
        <w:ind w:firstLine="0"/>
      </w:pPr>
      <w:r>
        <w:t>作者姓名¹，作者姓名²（待确认）</w:t>
      </w:r>
    </w:p>
    <w:p w14:paraId="6D7086DB">
      <w:pPr>
        <w:ind w:firstLine="0"/>
      </w:pPr>
      <w:r>
        <w:t>¹ 工作单位、城市、邮政编码、国家（待补）；² 工作单位（待补）</w:t>
      </w:r>
    </w:p>
    <w:p w14:paraId="597FAC83">
      <w:pPr>
        <w:ind w:firstLine="0"/>
      </w:pPr>
      <w:r>
        <w:t>通讯作者：姓名与电子邮箱（待补）</w:t>
      </w:r>
    </w:p>
    <w:p w14:paraId="1696DB33">
      <w:pPr>
        <w:pStyle w:val="4"/>
        <w:ind w:firstLine="0"/>
      </w:pPr>
      <w:r>
        <w:rPr>
          <w:rFonts w:hint="eastAsia"/>
        </w:rPr>
        <w:t>通俗摘要</w:t>
      </w:r>
    </w:p>
    <w:p w14:paraId="17F45688">
      <w:pPr>
        <w:pStyle w:val="164"/>
        <w:ind w:firstLine="0"/>
      </w:pPr>
      <w:r>
        <w:rPr>
          <w:rFonts w:hint="eastAsia"/>
        </w:rPr>
        <w:t>使用摄像机识别牛只，有助于将日常观察关联到具体个体。但是，在少数候选牛只之间匹配正确，并不意味着在较大的身份库中也能达到相同准确率。我们比较了三种学习方式，并让它们使用相同的参考图像评分规则。源数据的归档结果中，一种学习方式取得了较高的识别率；转到另一数据来源后，背景处理也与准确率变化相关。外部分析没有重新训练模型，但曾依据结果比较输入处理，而且尚未确认参考图与待识别图来自相互独立的拍摄事件。因此，这些结果用于描述当前评测条件下的表现，不能直接代表实际牧场部署或独立外部验证。本研究强调，报告视觉牛只识别性能时，需要同时说明候选身份数、参考图数量及数据划分条件。</w:t>
      </w:r>
    </w:p>
    <w:bookmarkEnd w:id="0"/>
    <w:p w14:paraId="05E97835">
      <w:pPr>
        <w:pStyle w:val="4"/>
        <w:ind w:firstLine="0"/>
      </w:pPr>
      <w:bookmarkStart w:id="1" w:name="摘要"/>
      <w:r>
        <w:rPr>
          <w:rFonts w:hint="eastAsia"/>
        </w:rPr>
        <w:t>摘要</w:t>
      </w:r>
    </w:p>
    <w:p w14:paraId="3D0B9621">
      <w:pPr>
        <w:pStyle w:val="164"/>
        <w:ind w:firstLine="0"/>
      </w:pPr>
      <w:r>
        <w:t>少量参考图条件下的牛只身份识别，需要同时考虑候选库规模、支持图数量与外部输入条件。本研究使用 DenseNet-121 表征和统一的支持图平均余弦评分，比较 SupCon-out、GAP 与 SupCon-in 三种归档方案。Holstein 评测覆盖五折、三个随机种子及折内全部64或65个候选身份；十五个模型等权汇总的 Rank-1 分别为83.67%、74.10%和65.52%。在 SideViewCows2026 snapshots 的54个身份、577张图像中，冻结权重的 SupCon-out 经灰背景处理后，在每身份1、3、5张支持图条件下的微平均准确率分别为50.10%、58.35%和61.82%。这些结果支持当前协议内的方法排序，并显示外部识别结果对输入处理敏感。由于预处理曾依据外部结果进行比较，且支持与查询的采集事件独立性尚未核验，外部结果仅作为探索性迁移证据。本文不将方案差异归因于单一设计因素，也不据此推断真实牧场部署性能。</w:t>
      </w:r>
    </w:p>
    <w:p w14:paraId="65B67A95">
      <w:pPr>
        <w:pStyle w:val="19"/>
        <w:ind w:firstLine="0"/>
      </w:pPr>
      <w:r>
        <w:rPr>
          <w:rFonts w:hint="eastAsia"/>
          <w:b/>
          <w:bCs/>
        </w:rPr>
        <w:t>关键词</w:t>
      </w:r>
      <w:r>
        <w:t xml:space="preserve"> </w:t>
      </w:r>
      <w:r>
        <w:rPr>
          <w:rFonts w:hint="eastAsia"/>
        </w:rPr>
        <w:t>牛只重识别；少样本识别；监督对比学习；完整候选库；探索性迁移；背景处理</w:t>
      </w:r>
    </w:p>
    <w:bookmarkEnd w:id="1"/>
    <w:p w14:paraId="7EA3DE12">
      <w:pPr>
        <w:pStyle w:val="4"/>
        <w:ind w:firstLine="0"/>
      </w:pPr>
      <w:bookmarkStart w:id="2" w:name="引言"/>
      <w:r>
        <w:t xml:space="preserve">1 </w:t>
      </w:r>
      <w:r>
        <w:rPr>
          <w:rFonts w:hint="eastAsia"/>
        </w:rPr>
        <w:t>引言</w:t>
      </w:r>
    </w:p>
    <w:p w14:paraId="16D77CEB">
      <w:pPr>
        <w:pStyle w:val="164"/>
        <w:ind w:firstLine="0"/>
      </w:pPr>
      <w:r>
        <w:rPr>
          <w:rFonts w:hint="eastAsia"/>
        </w:rPr>
        <w:t>牛只身份识别是个体化行为监测和畜牧管理中的基础环节。基于自然外观的视觉识别利用牛体花纹建立图像与身份之间的对应关系，已有研究探索了</w:t>
      </w:r>
      <w:r>
        <w:t xml:space="preserve"> RGB </w:t>
      </w:r>
      <w:r>
        <w:rPr>
          <w:rFonts w:hint="eastAsia"/>
        </w:rPr>
        <w:t>与热成像，以及面向未见身份的深度度量学习</w:t>
      </w:r>
      <w:r>
        <w:t xml:space="preserve"> [1, </w:t>
      </w:r>
      <w:r>
        <w:rPr>
          <w:rFonts w:hint="eastAsia"/>
        </w:rPr>
        <w:t>2]。实际应用中，身份库会变化，同一头牛的姿态、可见花纹、背景和成像条件也会变化。因此，固定类别分类的准确率并不足以描述一个表征在新增身份和少量参考图条件下的识别能力。</w:t>
      </w:r>
    </w:p>
    <w:p w14:paraId="2DDDB368">
      <w:pPr>
        <w:pStyle w:val="19"/>
        <w:ind w:firstLine="0"/>
      </w:pPr>
      <w:r>
        <w:rPr>
          <w:rFonts w:hint="eastAsia"/>
        </w:rPr>
        <w:t>少样本识别为这一问题提供了支持集与查询集的任务表述：模型利用每个候选身份的少量已标注图像，为查询图分配身份</w:t>
      </w:r>
      <w:r>
        <w:t xml:space="preserve"> [3, </w:t>
      </w:r>
      <w:r>
        <w:rPr>
          <w:rFonts w:hint="eastAsia"/>
        </w:rPr>
        <w:t>4]。但任务结果取决于候选集合。十身份任务只要求在给定十个身份之间区分，不能直接代表更大身份库的识别结果。本文所称“完整候选库”特指每折评测身份集合中的全部候选，而非原始数据集全部身份、开放世界识别或生产系统全流程。</w:t>
      </w:r>
    </w:p>
    <w:p w14:paraId="63F4DF66">
      <w:pPr>
        <w:pStyle w:val="19"/>
        <w:ind w:firstLine="0"/>
      </w:pPr>
      <w:r>
        <w:rPr>
          <w:rFonts w:hint="eastAsia"/>
        </w:rPr>
        <w:t>另一个问题是多个支持正例如何进入训练目标。监督对比学习已区分正例对数概率的平均与正例概率平均后取对数两种形式</w:t>
      </w:r>
      <w:r>
        <w:t xml:space="preserve"> </w:t>
      </w:r>
      <w:r>
        <w:rPr>
          <w:rFonts w:hint="eastAsia"/>
        </w:rPr>
        <w:t>[5]。本研究不提出新的通用对比损失，而是在牛只支持图匹配场景下比较这些已有聚合方式的具体实例，并采用相同的推理评分规则。统一骨干、任务和度量是避免将实验配置差异误判为方法收益的重要条件</w:t>
      </w:r>
      <w:r>
        <w:t xml:space="preserve"> [6]。</w:t>
      </w:r>
    </w:p>
    <w:p w14:paraId="74A05A65">
      <w:pPr>
        <w:pStyle w:val="19"/>
        <w:ind w:firstLine="0"/>
      </w:pPr>
      <w:r>
        <w:rPr>
          <w:rFonts w:hint="eastAsia"/>
        </w:rPr>
        <w:t>外部图像还引入了与训练域不同的外观和背景。跨环境动物检测和分类研究表明，原环境中的表现不能直接推断新环境表现</w:t>
      </w:r>
      <w:r>
        <w:t xml:space="preserve"> </w:t>
      </w:r>
      <w:r>
        <w:rPr>
          <w:rFonts w:hint="eastAsia"/>
        </w:rPr>
        <w:t>[7]。为考察冻结表征在另一公开数据源上的行为，我们在</w:t>
      </w:r>
      <w:r>
        <w:t xml:space="preserve"> SideViewCows2026 </w:t>
      </w:r>
      <w:r>
        <w:rPr>
          <w:rFonts w:hint="eastAsia"/>
        </w:rPr>
        <w:t>的</w:t>
      </w:r>
      <w:r>
        <w:t xml:space="preserve"> snapshots </w:t>
      </w:r>
      <w:r>
        <w:rPr>
          <w:rFonts w:hint="eastAsia"/>
        </w:rPr>
        <w:t>子集上分析三种模型和已有预处理方案</w:t>
      </w:r>
      <w:r>
        <w:t xml:space="preserve"> </w:t>
      </w:r>
      <w:r>
        <w:rPr>
          <w:rFonts w:hint="eastAsia"/>
        </w:rPr>
        <w:t>[8]。这部分使用外部采集数据，但预处理比较具有事后探索性质；本文明确区分“外部数据来源”和“独立确认性评估”。</w:t>
      </w:r>
    </w:p>
    <w:p w14:paraId="48D5EB9D">
      <w:pPr>
        <w:pStyle w:val="19"/>
        <w:ind w:firstLine="0"/>
      </w:pPr>
      <w:r>
        <w:rPr>
          <w:rFonts w:hint="eastAsia"/>
        </w:rPr>
        <w:t>本文的工作包括：整理统一评分下的</w:t>
      </w:r>
      <w:r>
        <w:t xml:space="preserve"> Holstein </w:t>
      </w:r>
      <w:r>
        <w:rPr>
          <w:rFonts w:hint="eastAsia"/>
        </w:rPr>
        <w:t>完整候选库比较；报告支持图数量与候选规模分层结果；以及在冻结权重条件下分析</w:t>
      </w:r>
      <w:r>
        <w:t xml:space="preserve"> SideView </w:t>
      </w:r>
      <w:r>
        <w:rPr>
          <w:rFonts w:hint="eastAsia"/>
        </w:rPr>
        <w:t>外部输入处理的表现和证据边界。贡献定位是已有学习目标在特定牛只识别协议中的应用评估，不涉及新架构、全新损失或跨数据集最优性能声明。</w:t>
      </w:r>
    </w:p>
    <w:p w14:paraId="552B86CF">
      <w:pPr>
        <w:pStyle w:val="5"/>
        <w:ind w:firstLine="0"/>
      </w:pPr>
      <w:bookmarkStart w:id="3" w:name="牛只与动物个体重识别"/>
      <w:r>
        <w:t xml:space="preserve">1.1 </w:t>
      </w:r>
      <w:r>
        <w:rPr>
          <w:rFonts w:hint="eastAsia"/>
        </w:rPr>
        <w:t>牛只与动物个体重识别</w:t>
      </w:r>
    </w:p>
    <w:p w14:paraId="2CC0A87B">
      <w:pPr>
        <w:pStyle w:val="164"/>
        <w:ind w:firstLine="0"/>
      </w:pPr>
      <w:r>
        <w:t xml:space="preserve">Bhole </w:t>
      </w:r>
      <w:r>
        <w:rPr>
          <w:rFonts w:hint="eastAsia"/>
        </w:rPr>
        <w:t>等针对</w:t>
      </w:r>
      <w:r>
        <w:t xml:space="preserve"> Holstein </w:t>
      </w:r>
      <w:r>
        <w:rPr>
          <w:rFonts w:hint="eastAsia"/>
        </w:rPr>
        <w:t>牛开展了</w:t>
      </w:r>
      <w:r>
        <w:t xml:space="preserve"> </w:t>
      </w:r>
      <w:r>
        <w:rPr>
          <w:rFonts w:hint="eastAsia"/>
        </w:rPr>
        <w:t>RGB、热成像与轮廓表征研究，并发布了本研究源域对应的公开数据</w:t>
      </w:r>
      <w:r>
        <w:t xml:space="preserve"> [1, 9]。Andrew </w:t>
      </w:r>
      <w:r>
        <w:rPr>
          <w:rFonts w:hint="eastAsia"/>
        </w:rPr>
        <w:t>等研究了利用自然花纹与深度度量学习识别未参与训练的牛只</w:t>
      </w:r>
      <w:r>
        <w:t xml:space="preserve"> </w:t>
      </w:r>
      <w:r>
        <w:rPr>
          <w:rFonts w:hint="eastAsia"/>
        </w:rPr>
        <w:t>[2]。更广泛的动物重识别工作强调统一数据访问和评估工具的重要性</w:t>
      </w:r>
      <w:r>
        <w:t xml:space="preserve"> </w:t>
      </w:r>
      <w:r>
        <w:rPr>
          <w:rFonts w:hint="eastAsia"/>
        </w:rPr>
        <w:t>[10]。这些研究支持使用学习到的表征进行身份匹配，但其拍摄方向、候选集及训练测试划分不统一，不能将文献准确率直接排列为本实验的性能基线。</w:t>
      </w:r>
    </w:p>
    <w:p w14:paraId="67F5F9CD">
      <w:pPr>
        <w:pStyle w:val="19"/>
        <w:ind w:firstLine="0"/>
      </w:pPr>
      <w:r>
        <w:rPr>
          <w:rFonts w:hint="eastAsia"/>
        </w:rPr>
        <w:t>近期研究进一步考虑行为、方向和数据可得性。Perneel</w:t>
      </w:r>
      <w:r>
        <w:t xml:space="preserve"> </w:t>
      </w:r>
      <w:r>
        <w:rPr>
          <w:rFonts w:hint="eastAsia"/>
        </w:rPr>
        <w:t>等考察多行为及方向变化条件下的</w:t>
      </w:r>
      <w:r>
        <w:t xml:space="preserve"> Holstein-Friesian </w:t>
      </w:r>
      <w:r>
        <w:rPr>
          <w:rFonts w:hint="eastAsia"/>
        </w:rPr>
        <w:t>重识别，Hooker</w:t>
      </w:r>
      <w:r>
        <w:t xml:space="preserve"> </w:t>
      </w:r>
      <w:r>
        <w:rPr>
          <w:rFonts w:hint="eastAsia"/>
        </w:rPr>
        <w:t>等研究少量参考图与多行为对比学习，OpenCowID</w:t>
      </w:r>
      <w:r>
        <w:t xml:space="preserve"> </w:t>
      </w:r>
      <w:r>
        <w:rPr>
          <w:rFonts w:hint="eastAsia"/>
        </w:rPr>
        <w:t>则使用合成牛体图案支持未见身份识别</w:t>
      </w:r>
      <w:r>
        <w:t xml:space="preserve"> [11, 12, </w:t>
      </w:r>
      <w:r>
        <w:rPr>
          <w:rFonts w:hint="eastAsia"/>
        </w:rPr>
        <w:t xml:space="preserve">13]。这些工作与本文关注的问题相邻，但本文并未复现其完整系统。本文的外部推理采用带身份标签的支持集匹配协议，不因冻结权重而宣称零样本学习。OpenCowID将训练与测试身份不重叠的情形称为zero-shot，其推理同样使用带标签的参考图库；该术语与本文少样本支持集协议的关系需按训练身份及评测设定区分 [13]。</w:t>
      </w:r>
    </w:p>
    <w:p w14:paraId="0FA6B5A9">
      <w:pPr>
        <w:pStyle w:val="19"/>
        <w:ind w:firstLine="0"/>
      </w:pPr>
      <w:r>
        <w:rPr>
          <w:rFonts w:hint="eastAsia"/>
        </w:rPr>
        <w:t>牛只身份识别领域的相关工作表明，输入部位、身份协议与模型改动需要分开讨论。Zhao</w:t>
      </w:r>
      <w:r>
        <w:t xml:space="preserve"> </w:t>
      </w:r>
      <w:r>
        <w:rPr>
          <w:rFonts w:hint="eastAsia"/>
        </w:rPr>
        <w:t>等提出多中心代理损失，研究多视角牛只体表表征的类内差异</w:t>
      </w:r>
      <w:r>
        <w:t xml:space="preserve"> </w:t>
      </w:r>
      <w:r>
        <w:rPr>
          <w:rFonts w:hint="eastAsia"/>
        </w:rPr>
        <w:t>[14]；该工作与本文均关注视觉身份表征，但采用的损失和数据协议不同。Li</w:t>
      </w:r>
      <w:r>
        <w:t xml:space="preserve"> </w:t>
      </w:r>
      <w:r>
        <w:rPr>
          <w:rFonts w:hint="eastAsia"/>
        </w:rPr>
        <w:t>等以鼻纹图像比较个体分类模型，鼻纹近景的采集条件不能等同于本文的体表图像匹配</w:t>
      </w:r>
      <w:r>
        <w:t xml:space="preserve"> [15]。Meng </w:t>
      </w:r>
      <w:r>
        <w:rPr>
          <w:rFonts w:hint="eastAsia"/>
        </w:rPr>
        <w:t>等研究已知与未知牛脸身份的联合识别</w:t>
      </w:r>
      <w:r>
        <w:t xml:space="preserve"> </w:t>
      </w:r>
      <w:r>
        <w:rPr>
          <w:rFonts w:hint="eastAsia"/>
        </w:rPr>
        <w:t>[16]，而本文只在给定候选身份内排序，未评估未知身份拒识。</w:t>
      </w:r>
    </w:p>
    <w:p w14:paraId="1950EB3A">
      <w:pPr>
        <w:pStyle w:val="19"/>
        <w:ind w:firstLine="0"/>
      </w:pPr>
      <w:r>
        <w:rPr>
          <w:rFonts w:hint="eastAsia"/>
        </w:rPr>
        <w:t>在表征结构方面，Qi</w:t>
      </w:r>
      <w:r>
        <w:t xml:space="preserve"> </w:t>
      </w:r>
      <w:r>
        <w:rPr>
          <w:rFonts w:hint="eastAsia"/>
        </w:rPr>
        <w:t>等通过动态卷积和空间注意力调整网络</w:t>
      </w:r>
      <w:r>
        <w:t xml:space="preserve"> </w:t>
      </w:r>
      <w:r>
        <w:rPr>
          <w:rFonts w:hint="eastAsia"/>
        </w:rPr>
        <w:t>[17]；Liu</w:t>
      </w:r>
      <w:r>
        <w:t xml:space="preserve"> </w:t>
      </w:r>
      <w:r>
        <w:rPr>
          <w:rFonts w:hint="eastAsia"/>
        </w:rPr>
        <w:t>等针对弱纹理韩牛，引入姿态引导生成与视角感知特征调整</w:t>
      </w:r>
      <w:r>
        <w:t xml:space="preserve"> </w:t>
      </w:r>
      <w:r>
        <w:rPr>
          <w:rFonts w:hint="eastAsia"/>
        </w:rPr>
        <w:t>[18]。这些工作改变了模型或特征处理，本文则保持既有模型，并比较冻结推理下的输入方案。另一方面，Zhao</w:t>
      </w:r>
      <w:r>
        <w:t xml:space="preserve"> </w:t>
      </w:r>
      <w:r>
        <w:rPr>
          <w:rFonts w:hint="eastAsia"/>
        </w:rPr>
        <w:t>等将超宽带定位与计算机视觉结合，用于关联图像中的牛只与实际编号</w:t>
      </w:r>
      <w:r>
        <w:t xml:space="preserve"> </w:t>
      </w:r>
      <w:r>
        <w:rPr>
          <w:rFonts w:hint="eastAsia"/>
        </w:rPr>
        <w:t>[19]。这种定位辅助路线与纯图像支持集匹配解决的问题不同。因此，本文引用这些研究界定任务范围，不把它们的准确率与本研究结果直接排名。</w:t>
      </w:r>
    </w:p>
    <w:bookmarkEnd w:id="3"/>
    <w:p w14:paraId="57901595">
      <w:pPr>
        <w:pStyle w:val="5"/>
        <w:ind w:firstLine="0"/>
      </w:pPr>
      <w:bookmarkStart w:id="4" w:name="支持集匹配与多正例学习"/>
      <w:r>
        <w:t xml:space="preserve">1.2 </w:t>
      </w:r>
      <w:r>
        <w:rPr>
          <w:rFonts w:hint="eastAsia"/>
        </w:rPr>
        <w:t>支持集匹配与多正例学习</w:t>
      </w:r>
    </w:p>
    <w:p w14:paraId="3FA4739D">
      <w:pPr>
        <w:pStyle w:val="164"/>
        <w:ind w:firstLine="0"/>
      </w:pPr>
      <w:r>
        <w:t xml:space="preserve">Matching Networks </w:t>
      </w:r>
      <w:r>
        <w:rPr>
          <w:rFonts w:hint="eastAsia"/>
        </w:rPr>
        <w:t>和</w:t>
      </w:r>
      <w:r>
        <w:t xml:space="preserve"> Prototypical Networks </w:t>
      </w:r>
      <w:r>
        <w:rPr>
          <w:rFonts w:hint="eastAsia"/>
        </w:rPr>
        <w:t>分别从支持集条件预测和类别原型角度研究少样本识别</w:t>
      </w:r>
      <w:r>
        <w:t xml:space="preserve"> [3, 4]。N-pair </w:t>
      </w:r>
      <w:r>
        <w:rPr>
          <w:rFonts w:hint="eastAsia"/>
        </w:rPr>
        <w:t>学习将一个正例与多个负例纳入目标，SimCLR</w:t>
      </w:r>
      <w:r>
        <w:t xml:space="preserve"> </w:t>
      </w:r>
      <w:r>
        <w:rPr>
          <w:rFonts w:hint="eastAsia"/>
        </w:rPr>
        <w:t>研究基于图像增强的对比表征，而</w:t>
      </w:r>
      <w:r>
        <w:t xml:space="preserve"> SupCon </w:t>
      </w:r>
      <w:r>
        <w:rPr>
          <w:rFonts w:hint="eastAsia"/>
        </w:rPr>
        <w:t>利用类别标签引入多个正例</w:t>
      </w:r>
      <w:r>
        <w:t xml:space="preserve"> [5, 20, </w:t>
      </w:r>
      <w:r>
        <w:rPr>
          <w:rFonts w:hint="eastAsia"/>
        </w:rPr>
        <w:t>21]。本文借用支持集任务表述，比较样本级和类别级相似度聚合。GAP</w:t>
      </w:r>
      <w:r>
        <w:t xml:space="preserve"> </w:t>
      </w:r>
      <w:r>
        <w:rPr>
          <w:rFonts w:hint="eastAsia"/>
        </w:rPr>
        <w:t>是本实验中类别平均相似度目标的名称，不能理解为仅将骨干的全局平均池化层替换为另一模块，也不等同于完整复现</w:t>
      </w:r>
      <w:r>
        <w:t xml:space="preserve"> Prototypical Networks。</w:t>
      </w:r>
    </w:p>
    <w:p w14:paraId="73BEF988">
      <w:pPr>
        <w:pStyle w:val="19"/>
        <w:ind w:firstLine="0"/>
      </w:pPr>
      <w:r>
        <w:rPr>
          <w:rFonts w:hint="eastAsia"/>
        </w:rPr>
        <w:t>视觉度量学习的监督信号可以作用于图像实例之间，也可以通过学习到的代理点组织。FaceNet</w:t>
      </w:r>
      <w:r>
        <w:t xml:space="preserve"> </w:t>
      </w:r>
      <w:r>
        <w:rPr>
          <w:rFonts w:hint="eastAsia"/>
        </w:rPr>
        <w:t>利用三元组约束学习嵌入空间</w:t>
      </w:r>
      <w:r>
        <w:t xml:space="preserve"> </w:t>
      </w:r>
      <w:r>
        <w:rPr>
          <w:rFonts w:hint="eastAsia"/>
        </w:rPr>
        <w:t>[22]，代理度量学习则以代理点替代部分样本关系以改善优化</w:t>
      </w:r>
      <w:r>
        <w:t xml:space="preserve"> </w:t>
      </w:r>
      <w:r>
        <w:rPr>
          <w:rFonts w:hint="eastAsia"/>
        </w:rPr>
        <w:t>[23]。本文比较的是已归档的多正例与类别聚合目标，没有复现上述方法。骨干网络选择也属于独立设计因素。残差网络与密集连接网络采用不同的特征传播结构</w:t>
      </w:r>
      <w:r>
        <w:t xml:space="preserve"> [24, </w:t>
      </w:r>
      <w:r>
        <w:rPr>
          <w:rFonts w:hint="eastAsia"/>
        </w:rPr>
        <w:t>25]；本文固定</w:t>
      </w:r>
      <w:r>
        <w:t xml:space="preserve"> </w:t>
      </w:r>
      <w:r>
        <w:rPr>
          <w:rFonts w:hint="eastAsia"/>
        </w:rPr>
        <w:t>DenseNet-121，不能据此判断其他骨干的相对性能。</w:t>
      </w:r>
    </w:p>
    <w:bookmarkEnd w:id="4"/>
    <w:p w14:paraId="6E36B4D8">
      <w:pPr>
        <w:pStyle w:val="5"/>
        <w:ind w:firstLine="0"/>
      </w:pPr>
      <w:bookmarkStart w:id="5" w:name="泛化与评估设计"/>
      <w:r>
        <w:t xml:space="preserve">1.3 </w:t>
      </w:r>
      <w:r>
        <w:rPr>
          <w:rFonts w:hint="eastAsia"/>
        </w:rPr>
        <w:t>泛化与评估设计</w:t>
      </w:r>
    </w:p>
    <w:p w14:paraId="62687BE3">
      <w:pPr>
        <w:pStyle w:val="164"/>
        <w:ind w:firstLine="0"/>
      </w:pPr>
      <w:r>
        <w:rPr>
          <w:rFonts w:hint="eastAsia"/>
        </w:rPr>
        <w:t>模型可能利用与标签相关但难以迁移的背景等线索；捷径学习提供了解释这类现象的概念框架</w:t>
      </w:r>
      <w:r>
        <w:t xml:space="preserve"> </w:t>
      </w:r>
      <w:r>
        <w:rPr>
          <w:rFonts w:hint="eastAsia"/>
        </w:rPr>
        <w:t>[26]。然而，背景处理后准确率变化本身不能证明模型使用了哪一种捷径。重复采集数据还具有时间或层次相关结构，数据划分和不确定性估计需要反映预期泛化单位</w:t>
      </w:r>
      <w:r>
        <w:t xml:space="preserve"> </w:t>
      </w:r>
      <w:r>
        <w:rPr>
          <w:rFonts w:hint="eastAsia"/>
        </w:rPr>
        <w:t>[27]。此外，在同一外部结果上反复选择处理方案会引入选择偏差，即使模型参数未更新也不能忽略这一问题</w:t>
      </w:r>
      <w:r>
        <w:t xml:space="preserve"> [28]。</w:t>
      </w:r>
    </w:p>
    <w:p w14:paraId="60BDC199">
      <w:pPr>
        <w:pStyle w:val="19"/>
        <w:ind w:firstLine="0"/>
      </w:pPr>
      <w:r>
        <w:rPr>
          <w:rFonts w:hint="eastAsia"/>
        </w:rPr>
        <w:t>跨分布评估还需要将数据来源变化与评测设计相联系。WILDS</w:t>
      </w:r>
      <w:r>
        <w:t xml:space="preserve"> </w:t>
      </w:r>
      <w:r>
        <w:rPr>
          <w:rFonts w:hint="eastAsia"/>
        </w:rPr>
        <w:t>将自然出现的分布变化组织为标准化基准</w:t>
      </w:r>
      <w:r>
        <w:t xml:space="preserve"> </w:t>
      </w:r>
      <w:r>
        <w:rPr>
          <w:rFonts w:hint="eastAsia"/>
        </w:rPr>
        <w:t>[29]；本文未使用该基准，但同样需要明确源域与外部数据的构造差异，不能把冻结权重等同于测试协议未参与开发。</w:t>
      </w:r>
    </w:p>
    <w:bookmarkEnd w:id="2"/>
    <w:bookmarkEnd w:id="5"/>
    <w:p w14:paraId="4042FEBE">
      <w:pPr>
        <w:pStyle w:val="4"/>
        <w:ind w:firstLine="0"/>
      </w:pPr>
      <w:bookmarkStart w:id="6" w:name="材料与方法"/>
      <w:r>
        <w:t xml:space="preserve">2 </w:t>
      </w:r>
      <w:r>
        <w:rPr>
          <w:rFonts w:hint="eastAsia"/>
        </w:rPr>
        <w:t>材料与方法</w:t>
      </w:r>
    </w:p>
    <w:p w14:paraId="79EBACA7">
      <w:pPr>
        <w:pStyle w:val="5"/>
        <w:ind w:firstLine="0"/>
      </w:pPr>
      <w:bookmarkStart w:id="7" w:name="数据来源与实际使用范围"/>
      <w:r>
        <w:t xml:space="preserve">2.1 </w:t>
      </w:r>
      <w:r>
        <w:rPr>
          <w:rFonts w:hint="eastAsia"/>
        </w:rPr>
        <w:t>数据来源与实际使用范围</w:t>
      </w:r>
    </w:p>
    <w:p w14:paraId="15686930">
      <w:pPr>
        <w:pStyle w:val="164"/>
        <w:ind w:firstLine="0"/>
      </w:pPr>
      <w:r>
        <w:t>Holstein 源域对应 Recognition of Holstein Cattle with Thermal and RGB images，数据 DOI 为10.34894/7M108F，包含383个身份、跨九天采集的3694次图像记录；本研究仅使用 RGB [9]。按逐身份资格表，纳入第1至6天均有可用记录、且第7至9天至少一天有查询记录的324个身份；其余59个身份因观测窗口不完整，不进入本次严格队列。资格表、图像manifest与实际训练设计的哈希对应已核验（表S4）。五折实际设计中，前四折各含207个训练身份、52个验证身份和65个测试身份，第五折为208、52和64个；折内三个身份集合互斥，324个身份分别恰好进入一次测试集（表S5）。这些划分来自实际训练输入合同，不以早期带校准集的另一套划分代替。</w:t>
      </w:r>
    </w:p>
    <w:p w14:paraId="5659F1DB">
      <w:pPr>
        <w:pStyle w:val="19"/>
        <w:ind w:firstLine="0"/>
      </w:pPr>
      <w:r>
        <w:t>SideViewCows2026 的版本 DOI 为10.5281/zenodo.21605650，由 Sebastian Möller 发布，许可为 CC BY 4.0。官方数据含 parlor、barn 和 snapshots 三个子集；本研究仅使用 snapshots 中的607张图像、63个身份 [8]，不采用跨子集评分。该子集包含不同环境中的单张照片，不能一概视为固定机位视频帧；2025年相关论文的170身份规模及历史采集流水线也不能直接覆盖本次数据版本 [30]。评分要求每身份至少六张图像，排除九个不满足门槛的身份及其30张图像，最终纳入54个身份、577张图像。</w:t>
      </w:r>
    </w:p>
    <w:p w14:paraId="239FE21E">
      <w:pPr>
        <w:pStyle w:val="19"/>
        <w:ind w:firstLine="0"/>
      </w:pPr>
      <w:r>
        <w:rPr>
          <w:rFonts w:hint="eastAsia"/>
        </w:rPr>
        <w:t>研究设计和数据使用范围见图1。</w:t>
      </w:r>
    </w:p>
    <w:p w14:paraId="3DE292DB">
      <w:pPr>
        <w:keepNext w:val="1"/>
        <w:keepLines w:val="1"/>
        <w:spacing w:after="0" w:line="240" w:lineRule="auto"/>
        <w:ind w:left="0" w:right="0" w:firstLine="0"/>
        <w:jc w:val="center"/>
      </w:pPr>
      <w:r>
        <w:drawing>
          <wp:inline distT="0" distB="0" distL="114300" distR="114300">
            <wp:extent cx="5715000" cy="3690938"/>
            <wp:effectExtent l="0" t="0" r="0" b="0"/>
            <wp:docPr id="16" name="Picture" descr="图1. 研究设计与数据使用边界。上层为 Holstein 源域的归档完整候选库评测；下层为 SideViewCows2026 snapshots 的探索性图像级分析。每方法有 15 个冻结模型，模型结果独立评分后汇总，不组成集成模型。虚线表示仅使用已训练权重。外部数据没有参与参数更新，但预处理选择受到外部结果反馈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图1. 研究设计与数据使用边界。上层为 Holstein 源域的归档完整候选库评测；下层为 SideViewCows2026 snapshots 的探索性图像级分析。每方法有 15 个冻结模型，模型结果独立评分后汇总，不组成集成模型。虚线表示仅使用已训练权重。外部数据没有参与参数更新，但预处理选择受到外部结果反馈影响。"/>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3690938"/>
                    </a:xfrm>
                    <a:prstGeom prst="rect">
                      <a:avLst/>
                    </a:prstGeom>
                    <a:noFill/>
                  </pic:spPr>
                </pic:pic>
              </a:graphicData>
            </a:graphic>
          </wp:inline>
        </w:drawing>
      </w:r>
    </w:p>
    <w:p w14:paraId="702C5097">
      <w:pPr>
        <w:pStyle w:val="15"/>
        <w:keepNext w:val="0"/>
        <w:keepLines w:val="1"/>
        <w:ind w:firstLine="0"/>
      </w:pPr>
      <w:r>
        <w:t>图1. 源域评测与外部探索性分析流程。（a）Holstein纳入324个身份，按身份进行五折划分；每折使用三个种子（17、29、43），每方法15个模型，三方法共45个。各模型在对应测试折的64或65个候选身份中评分。（b）SideViewCows2026 snapshots共607图、63身份；按每身份至少6图筛选后保留577图、54身份。每次抽样预留每身份5图，共270张支持图，其余307张为查询；K=1、3、5分别使用54、162、270张支持图。K=1、3取预留支持序列的前缀，未使用的支持图不转作查询；同一次抽样的查询集在三个K下不变。共五次固定抽样，逐模型评分后等权汇总，不组成模型集成。虚线仅表示沿用源域冻结权重，不进行外部训练。支持集与查询集按图像划分；尚未确认跨拍摄事件隔离，不能据此声称跨事件泛化。预处理比较属于探索性分析。缩略图为真实预处理样本；左侧Holstein照片展示数据外观，不表示同一测试折；右侧候选库照片来自fold=0、K=3的同一个归档评测任务，分别为0090_5_1、0091_3_1和0135_4_1，仅展示三个候选的部分支持图；支持/查询示例来自draw=0、身份491的不同图像，仅展示输入外观。Holstein照片来源于文献[9]（CC0）；SideView照片由Sebastian Möller发布[8]（CC BY 4.0），此处按实验规则预处理。</w:t>
      </w:r>
    </w:p>
    <w:bookmarkEnd w:id="7"/>
    <w:p w14:paraId="09D52C06">
      <w:pPr>
        <w:pStyle w:val="5"/>
        <w:ind w:firstLine="0"/>
      </w:pPr>
      <w:bookmarkStart w:id="8" w:name="表征与三个训练目标"/>
      <w:r>
        <w:t xml:space="preserve">2.2 </w:t>
      </w:r>
      <w:r>
        <w:rPr>
          <w:rFonts w:hint="eastAsia"/>
        </w:rPr>
        <w:t>表征与三个训练目标</w:t>
      </w:r>
    </w:p>
    <w:p>
      <w:pPr>
        <w:pStyle w:val="164"/>
        <w:ind w:firstLine="0"/>
      </w:pPr>
      <w:r>
        <w:t>本文将原归档代号B（主结果文件中为B-selected）统一表述为“受限SupCon-out”，图表简称SupCon-out。该名称对应查询作为锚点、支持图作为对比集合的既有SupCon-out限制实例，不表示提出新的损失函数。式（1）等公式保留上标B以对应归档实现；名称调整不改变模型、权重、评分或实验结果。</w:t>
      </w:r>
    </w:p>
    <w:p w14:paraId="5136C474">
      <w:pPr>
        <w:pStyle w:val="164"/>
        <w:ind w:firstLine="0"/>
      </w:pPr>
      <w:r>
        <w:rPr>
          <w:rFonts w:hint="eastAsia"/>
        </w:rPr>
        <w:t>三个方法采用</w:t>
      </w:r>
      <w:r>
        <w:t xml:space="preserve"> DenseNet-121 RGB </w:t>
      </w:r>
      <w:r>
        <w:rPr>
          <w:rFonts w:hint="eastAsia"/>
        </w:rPr>
        <w:t>表征</w:t>
      </w:r>
      <w:r>
        <w:t xml:space="preserve"> </w:t>
      </w:r>
      <w:r>
        <w:rPr>
          <w:rFonts w:hint="eastAsia"/>
        </w:rPr>
        <w:t>[25]。特征经</w:t>
      </w:r>
      <w:r>
        <w:t xml:space="preserve"> </w:t>
      </w:r>
      <w:r>
        <w:rPr>
          <w:rFonts w:hint="eastAsia"/>
        </w:rPr>
        <w:t>ReLU、空间平均池化和</w:t>
      </w:r>
      <w:r>
        <w:t xml:space="preserve"> L2 </w:t>
      </w:r>
      <w:r>
        <w:rPr>
          <w:rFonts w:hint="eastAsia"/>
        </w:rPr>
        <w:t xml:space="preserve">归一化得到单位向量。模型以ImageNet预训练权重初始化，ImageNet数据集与挑战赛背景见文献 [31]。源域输入采用短边缩放至256、中心裁剪至224×224及ImageNet通道均值和标准差归一化；这些操作属于本文的实现配置，具体以表S8及对应预处理代码为准，不由文献 [31] 推定。</w:t>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p>
    <w:p w14:paraId="4E1E9D4E">
      <w:pPr>
        <w:pStyle w:val="19"/>
        <w:ind w:firstLine="0"/>
      </w:pPr>
      <w:r>
        <w:rPr>
          <w:rFonts w:hint="eastAsia"/>
        </w:rPr>
        <w:t>令查询图的归一化表征为</w:t>
      </w:r>
      <w:r>
        <w:t xml:space="preserve"> </w:t>
      </w:r>
      <m:oMath>
        <m:sSub>
          <m:sSubPr/>
          <m:e>
            <m:r>
              <m:rPr/>
              <m:t>u</m:t>
            </m:r>
          </m:e>
          <m:sub>
            <m:r>
              <m:rPr/>
              <m:t>i</m:t>
            </m:r>
          </m:sub>
        </m:sSub>
      </m:oMath>
      <w:r>
        <w:rPr>
          <w:rFonts w:hint="eastAsia"/>
        </w:rPr>
        <w:t>，支持图表征为</w:t>
      </w:r>
      <w:r>
        <w:t xml:space="preserve"> </w:t>
      </w:r>
      <m:oMath>
        <m:sSub>
          <m:sSubPr/>
          <m:e>
            <m:r>
              <m:rPr/>
              <m:t>v</m:t>
            </m:r>
          </m:e>
          <m:sub>
            <m:r>
              <m:rPr/>
              <m:t>j</m:t>
            </m:r>
          </m:sub>
        </m:sSub>
      </m:oMath>
      <w:r>
        <w:rPr>
          <w:rFonts w:hint="eastAsia"/>
        </w:rPr>
        <w:t>，支持集合为</w:t>
      </w:r>
      <w:r>
        <w:t xml:space="preserve"> </w:t>
      </w:r>
      <m:oMath>
        <m:r>
          <m:rPr/>
          <m:t>S</m:t>
        </m:r>
      </m:oMath>
      <w:r>
        <w:rPr>
          <w:rFonts w:hint="eastAsia"/>
        </w:rPr>
        <w:t>，同身份正例为</w:t>
      </w:r>
      <w:r>
        <w:t xml:space="preserve"> </w:t>
      </w:r>
      <m:oMath>
        <m:sSub>
          <m:sSubPr/>
          <m:e>
            <m:r>
              <m:rPr/>
              <m:t>P</m:t>
            </m:r>
          </m:e>
          <m:sub>
            <m:r>
              <m:rPr/>
              <m:t>i</m:t>
            </m:r>
          </m:sub>
        </m:sSub>
      </m:oMath>
      <w:r>
        <w:rPr>
          <w:rFonts w:hint="eastAsia"/>
        </w:rPr>
        <w:t>，并定义</w:t>
      </w:r>
      <w:r>
        <w:t xml:space="preserve"> </w:t>
      </w:r>
      <m:oMath>
        <m:sSub>
          <m:sSubPr/>
          <m:e>
            <m:r>
              <m:rPr/>
              <m:t>z</m:t>
            </m:r>
          </m:e>
          <m:sub>
            <m:r>
              <m:rPr/>
              <m:t>ij</m:t>
            </m:r>
          </m:sub>
        </m:sSub>
        <m:r>
          <m:rPr>
            <m:sty m:val="p"/>
          </m:rPr>
          <m:t>=</m:t>
        </m:r>
        <m:sSubSup>
          <m:sSubSupPr/>
          <m:e>
            <m:r>
              <m:rPr/>
              <m:t>u</m:t>
            </m:r>
          </m:e>
          <m:sub>
            <m:r>
              <m:rPr/>
              <m:t>i</m:t>
            </m:r>
          </m:sub>
          <m:sup>
            <m:r>
              <m:rPr>
                <m:sty m:val="p"/>
              </m:rPr>
              <m:t>⊤</m:t>
            </m:r>
          </m:sup>
        </m:sSubSup>
        <m:sSub>
          <m:sSubPr/>
          <m:e>
            <m:r>
              <m:rPr/>
              <m:t>v</m:t>
            </m:r>
          </m:e>
          <m:sub>
            <m:r>
              <m:rPr/>
              <m:t>j</m:t>
            </m:r>
          </m:sub>
        </m:sSub>
        <m:r>
          <m:rPr>
            <m:sty m:val="p"/>
          </m:rPr>
          <m:t>/</m:t>
        </m:r>
        <m:r>
          <m:rPr/>
          <m:t>τ</m:t>
        </m:r>
      </m:oMath>
      <w:r>
        <w:rPr>
          <w:rFonts w:hint="eastAsia"/>
        </w:rPr>
        <w:t>。训练任务的归档公式采用十个查询、每身份五张支持图与</w:t>
      </w:r>
      <w:r>
        <w:t xml:space="preserve"> </w:t>
      </w:r>
      <m:oMath>
        <m:r>
          <m:rPr/>
          <m:t>τ</m:t>
        </m:r>
        <m:r>
          <m:rPr>
            <m:sty m:val="p"/>
          </m:rPr>
          <m:t>=</m:t>
        </m:r>
        <m:r>
          <m:rPr/>
          <m:t>0.1</m:t>
        </m:r>
      </m:oMath>
      <w:r>
        <w:rPr>
          <w:rFonts w:hint="eastAsia"/>
        </w:rPr>
        <w:t>。查询有效性掩码为</w:t>
      </w:r>
      <w:r>
        <w:t xml:space="preserve"> </w:t>
      </w:r>
      <m:oMath>
        <m:sSub>
          <m:sSubPr/>
          <m:e>
            <m:r>
              <m:rPr/>
              <m:t>a</m:t>
            </m:r>
          </m:e>
          <m:sub>
            <m:r>
              <m:rPr/>
              <m:t>i</m:t>
            </m:r>
          </m:sub>
        </m:sSub>
      </m:oMath>
      <w:r>
        <w:rPr>
          <w:rFonts w:hint="eastAsia"/>
        </w:rPr>
        <w:t>，三个目标均以</w:t>
      </w:r>
      <w:r>
        <w:t xml:space="preserve"> </w:t>
      </w:r>
      <m:oMath>
        <m:nary>
          <m:naryPr>
            <m:chr m:val="∑"/>
            <m:limLoc m:val="undOvr"/>
            <m:supHide m:val="1"/>
          </m:naryPr>
          <m:sub>
            <m:r>
              <m:rPr/>
              <m:t>i</m:t>
            </m:r>
          </m:sub>
          <m:sup>
            <m:r>
              <m:rPr/>
              <m:t>​</m:t>
            </m:r>
          </m:sup>
          <m:e>
            <m:sSub>
              <m:sSubPr/>
              <m:e>
                <m:r>
                  <m:rPr/>
                  <m:t>a</m:t>
                </m:r>
              </m:e>
              <m:sub>
                <m:r>
                  <m:rPr/>
                  <m:t>i</m:t>
                </m:r>
              </m:sub>
            </m:sSub>
          </m:e>
        </m:nary>
        <m:sSub>
          <m:sSubPr/>
          <m:e>
            <m:r>
              <m:rPr/>
              <m:t>L</m:t>
            </m:r>
          </m:e>
          <m:sub>
            <m:r>
              <m:rPr/>
              <m:t>i</m:t>
            </m:r>
          </m:sub>
        </m:sSub>
        <m:r>
          <m:rPr>
            <m:sty m:val="p"/>
          </m:rPr>
          <m:t>/</m:t>
        </m:r>
        <m:r>
          <m:rPr/>
          <m:t>10</m:t>
        </m:r>
      </m:oMath>
      <w:r>
        <w:t xml:space="preserve"> </w:t>
      </w:r>
      <w:r>
        <w:rPr>
          <w:rFonts w:hint="eastAsia"/>
        </w:rPr>
        <w:t>归约；这与除以有效查询数不同。</w:t>
      </w:r>
    </w:p>
    <w:p>
      <w:pPr>
        <w:pStyle w:val="19"/>
        <w:ind w:firstLine="0"/>
      </w:pPr>
      <w:r>
        <w:t>本文S表示支持图的索引集合，包含10个身份的50张支持图；Pᵢ表示与第i个查询同身份的5个支持图索引。S_c表示身份c的支持图索引集合，yᵢ为查询的真实身份；式（3）的求和遍历训练任务中的10个候选身份。z已含温度缩放，类别内平均z后不再除以温度。所有log均为自然对数；aᵢ取0或1，三个目标对i=1至10求和后始终除以10，尾部补齐查询的aᵢ为0，其支持图仍保留在对比集合中。</w:t>
      </w:r>
    </w:p>
    <w:p w14:paraId="16EBD87A">
      <w:pPr>
        <w:pStyle w:val="19"/>
        <w:keepNext/>
        <w:ind w:firstLine="0"/>
      </w:pPr>
      <w:r>
        <w:rPr>
          <w:rFonts w:hint="eastAsia"/>
        </w:rPr>
        <w:t>SupCon-out（归档名称 B-selected）是受限 SupCon-out 实例。样本级多正例目标 SupCon-out 为</w:t>
      </w:r>
      <w:r>
        <w:t xml:space="preserve"/>
      </w:r>
      <w:r>
        <w:rPr>
          <w:rFonts w:hint="eastAsia"/>
        </w:rPr>
        <w:t/>
      </w:r>
      <w:r>
        <w:t xml:space="preserve"/>
      </w:r>
      <w:r>
        <w:rPr>
          <w:rFonts w:hint="eastAsia"/>
        </w:rPr>
        <w:t/>
      </w:r>
      <w:r>
        <w:t xml:space="preserve"/>
      </w:r>
      <w:r>
        <w:rPr>
          <w:rFonts w:hint="eastAsia"/>
        </w:rPr>
        <w:t/>
      </w:r>
    </w:p>
    <w:p w14:paraId="3AEA1611">
      <w:pPr>
        <w:pStyle w:val="19"/>
        <w:ind w:firstLine="0"/>
      </w:pPr>
      <m:oMathPara>
        <m:oMathParaPr>
          <m:jc m:val="center"/>
        </m:oMathParaPr>
        <m:oMath>
          <m:sSubSup>
            <m:sSubSupPr/>
            <m:e>
              <m:r>
                <m:rPr/>
                <m:t>L</m:t>
              </m:r>
            </m:e>
            <m:sub>
              <m:r>
                <m:rPr/>
                <m:t>i</m:t>
              </m:r>
            </m:sub>
            <m:sup>
              <m:r>
                <m:rPr/>
                <m:t>B</m:t>
              </m:r>
            </m:sup>
          </m:sSubSup>
          <m:r>
            <m:rPr>
              <m:sty m:val="p"/>
            </m:rPr>
            <m:t>=log</m:t>
          </m:r>
          <m:nary>
            <m:naryPr>
              <m:chr m:val="∑"/>
              <m:limLoc m:val="undOvr"/>
              <m:supHide m:val="1"/>
            </m:naryPr>
            <m:sub>
              <m:r>
                <m:rPr/>
                <m:t>j</m:t>
              </m:r>
              <m:r>
                <m:rPr>
                  <m:sty m:val="p"/>
                </m:rPr>
                <m:t>∈</m:t>
              </m:r>
              <m:r>
                <m:rPr/>
                <m:t>S</m:t>
              </m:r>
            </m:sub>
            <m:sup>
              <m:r>
                <m:rPr/>
                <m:t>​</m:t>
              </m:r>
            </m:sup>
            <m:e>
              <m:r>
                <m:rPr>
                  <m:sty m:val="p"/>
                </m:rPr>
                <m:t>exp</m:t>
              </m:r>
            </m:e>
          </m:nary>
          <m:r>
            <m:rPr>
              <m:sty m:val="p"/>
            </m:rPr>
            <m:t>(</m:t>
          </m:r>
          <m:sSub>
            <m:sSubPr/>
            <m:e>
              <m:r>
                <m:rPr/>
                <m:t>z</m:t>
              </m:r>
            </m:e>
            <m:sub>
              <m:r>
                <m:rPr/>
                <m:t>ij</m:t>
              </m:r>
            </m:sub>
          </m:sSub>
          <m:r>
            <m:rPr>
              <m:sty m:val="p"/>
            </m:rPr>
            <m:t>)−</m:t>
          </m:r>
          <m:f>
            <m:fPr/>
            <m:num>
              <m:r>
                <m:rPr/>
                <m:t>1</m:t>
              </m:r>
            </m:num>
            <m:den>
              <m:r>
                <m:rPr>
                  <m:sty m:val="p"/>
                </m:rPr>
                <m:t>|</m:t>
              </m:r>
              <m:sSub>
                <m:sSubPr/>
                <m:e>
                  <m:r>
                    <m:rPr/>
                    <m:t>P</m:t>
                  </m:r>
                </m:e>
                <m:sub>
                  <m:r>
                    <m:rPr/>
                    <m:t>i</m:t>
                  </m:r>
                </m:sub>
              </m:sSub>
              <m:r>
                <m:rPr>
                  <m:sty m:val="p"/>
                </m:rPr>
                <m:t>|</m:t>
              </m:r>
            </m:den>
          </m:f>
          <m:nary>
            <m:naryPr>
              <m:chr m:val="∑"/>
              <m:limLoc m:val="undOvr"/>
              <m:supHide m:val="1"/>
            </m:naryPr>
            <m:sub>
              <m:r>
                <m:rPr/>
                <m:t>p</m:t>
              </m:r>
              <m:r>
                <m:rPr>
                  <m:sty m:val="p"/>
                </m:rPr>
                <m:t>∈</m:t>
              </m:r>
              <m:sSub>
                <m:sSubPr/>
                <m:e>
                  <m:r>
                    <m:rPr/>
                    <m:t>P</m:t>
                  </m:r>
                </m:e>
                <m:sub>
                  <m:r>
                    <m:rPr/>
                    <m:t>i</m:t>
                  </m:r>
                </m:sub>
              </m:sSub>
            </m:sub>
            <m:sup>
              <m:r>
                <m:rPr/>
                <m:t>​</m:t>
              </m:r>
            </m:sup>
            <m:e>
              <m:sSub>
                <m:sSubPr/>
                <m:e>
                  <m:r>
                    <m:rPr/>
                    <m:t>z</m:t>
                  </m:r>
                </m:e>
                <m:sub>
                  <m:r>
                    <m:rPr/>
                    <m:t>ip</m:t>
                  </m:r>
                </m:sub>
              </m:sSub>
            </m:e>
          </m:nary>
          <m:r>
            <m:rPr>
              <m:sty m:val="p"/>
            </m:rPr>
            <m:t>.</m:t>
          </m:r>
          <m:r>
            <m:rPr/>
            <m:t>  </m:t>
          </m:r>
          <m:r>
            <m:rPr>
              <m:sty m:val="p"/>
            </m:rPr>
            <m:t>(</m:t>
          </m:r>
          <m:r>
            <m:rPr/>
            <m:t>1</m:t>
          </m:r>
          <m:r>
            <m:rPr>
              <m:sty m:val="p"/>
            </m:rPr>
            <m:t>)</m:t>
          </m:r>
        </m:oMath>
      </m:oMathPara>
    </w:p>
    <w:p>
      <w:pPr>
        <w:pStyle w:val="164"/>
        <w:ind w:firstLine="0"/>
      </w:pPr>
      <w:r>
        <w:t>该式对应SupCon-out在查询锚点、支持对比集合上的限制实例[5]。公式等价性可由负对数Softmax展开得到；本地合成输入核验用于检查公式与归档实现的一致性，不构成通用公式原创性或新增实验结果的证据。</w:t>
      </w:r>
    </w:p>
    <w:p w14:paraId="1BE87F91">
      <w:pPr>
        <w:pStyle w:val="19"/>
        <w:keepNext/>
        <w:ind w:firstLine="0"/>
      </w:pPr>
      <w:r>
        <w:t xml:space="preserve">SupCon-in </w:t>
      </w:r>
      <w:r>
        <w:rPr>
          <w:rFonts w:hint="eastAsia"/>
        </w:rPr>
        <w:t>对照为</w:t>
      </w:r>
    </w:p>
    <w:p w14:paraId="2D3333E3">
      <w:pPr>
        <w:pStyle w:val="19"/>
        <w:ind w:firstLine="0"/>
      </w:pPr>
      <m:oMathPara>
        <m:oMathParaPr>
          <m:jc m:val="center"/>
        </m:oMathParaPr>
        <m:oMath>
          <m:sSubSup>
            <m:sSubSupPr/>
            <m:e>
              <m:r>
                <m:rPr/>
                <m:t>L</m:t>
              </m:r>
            </m:e>
            <m:sub>
              <m:r>
                <m:rPr/>
                <m:t>i</m:t>
              </m:r>
            </m:sub>
            <m:sup>
              <m:r>
                <m:rPr>
                  <m:sty m:val="p"/>
                </m:rPr>
                <m:t>in</m:t>
              </m:r>
            </m:sup>
          </m:sSubSup>
          <m:r>
            <m:rPr>
              <m:sty m:val="p"/>
            </m:rPr>
            <m:t>=log</m:t>
          </m:r>
          <m:nary>
            <m:naryPr>
              <m:chr m:val="∑"/>
              <m:limLoc m:val="undOvr"/>
              <m:supHide m:val="1"/>
            </m:naryPr>
            <m:sub>
              <m:r>
                <m:rPr/>
                <m:t>j</m:t>
              </m:r>
              <m:r>
                <m:rPr>
                  <m:sty m:val="p"/>
                </m:rPr>
                <m:t>∈</m:t>
              </m:r>
              <m:r>
                <m:rPr/>
                <m:t>S</m:t>
              </m:r>
            </m:sub>
            <m:sup>
              <m:r>
                <m:rPr/>
                <m:t>​</m:t>
              </m:r>
            </m:sup>
            <m:e>
              <m:r>
                <m:rPr>
                  <m:sty m:val="p"/>
                </m:rPr>
                <m:t>exp</m:t>
              </m:r>
            </m:e>
          </m:nary>
          <m:r>
            <m:rPr>
              <m:sty m:val="p"/>
            </m:rPr>
            <m:t>(</m:t>
          </m:r>
          <m:sSub>
            <m:sSubPr/>
            <m:e>
              <m:r>
                <m:rPr/>
                <m:t>z</m:t>
              </m:r>
            </m:e>
            <m:sub>
              <m:r>
                <m:rPr/>
                <m:t>ij</m:t>
              </m:r>
            </m:sub>
          </m:sSub>
          <m:r>
            <m:rPr>
              <m:sty m:val="p"/>
            </m:rPr>
            <m:t>)−log</m:t>
          </m:r>
          <m:nary>
            <m:naryPr>
              <m:chr m:val="∑"/>
              <m:limLoc m:val="undOvr"/>
              <m:supHide m:val="1"/>
            </m:naryPr>
            <m:sub>
              <m:r>
                <m:rPr/>
                <m:t>p</m:t>
              </m:r>
              <m:r>
                <m:rPr>
                  <m:sty m:val="p"/>
                </m:rPr>
                <m:t>∈</m:t>
              </m:r>
              <m:sSub>
                <m:sSubPr/>
                <m:e>
                  <m:r>
                    <m:rPr/>
                    <m:t>P</m:t>
                  </m:r>
                </m:e>
                <m:sub>
                  <m:r>
                    <m:rPr/>
                    <m:t>i</m:t>
                  </m:r>
                </m:sub>
              </m:sSub>
            </m:sub>
            <m:sup>
              <m:r>
                <m:rPr/>
                <m:t>​</m:t>
              </m:r>
            </m:sup>
            <m:e>
              <m:r>
                <m:rPr>
                  <m:sty m:val="p"/>
                </m:rPr>
                <m:t>exp</m:t>
              </m:r>
            </m:e>
          </m:nary>
          <m:r>
            <m:rPr>
              <m:sty m:val="p"/>
            </m:rPr>
            <m:t>(</m:t>
          </m:r>
          <m:sSub>
            <m:sSubPr/>
            <m:e>
              <m:r>
                <m:rPr/>
                <m:t>z</m:t>
              </m:r>
            </m:e>
            <m:sub>
              <m:r>
                <m:rPr/>
                <m:t>ip</m:t>
              </m:r>
            </m:sub>
          </m:sSub>
          <m:r>
            <m:rPr>
              <m:sty m:val="p"/>
            </m:rPr>
            <m:t>)+log|</m:t>
          </m:r>
          <m:sSub>
            <m:sSubPr/>
            <m:e>
              <m:r>
                <m:rPr/>
                <m:t>P</m:t>
              </m:r>
            </m:e>
            <m:sub>
              <m:r>
                <m:rPr/>
                <m:t>i</m:t>
              </m:r>
            </m:sub>
          </m:sSub>
          <m:r>
            <m:rPr>
              <m:sty m:val="p"/>
            </m:rPr>
            <m:t>|.</m:t>
          </m:r>
          <m:r>
            <m:rPr/>
            <m:t>  </m:t>
          </m:r>
          <m:r>
            <m:rPr>
              <m:sty m:val="p"/>
            </m:rPr>
            <m:t>(</m:t>
          </m:r>
          <m:r>
            <m:rPr/>
            <m:t>2</m:t>
          </m:r>
          <m:r>
            <m:rPr>
              <m:sty m:val="p"/>
            </m:rPr>
            <m:t>)</m:t>
          </m:r>
        </m:oMath>
      </m:oMathPara>
    </w:p>
    <w:p w14:paraId="759F10EE">
      <w:pPr>
        <w:pStyle w:val="164"/>
        <w:keepNext/>
        <w:ind w:firstLine="0"/>
      </w:pPr>
      <w:r>
        <w:t xml:space="preserve">GAP </w:t>
      </w:r>
      <w:r>
        <w:rPr>
          <w:rFonts w:hint="eastAsia"/>
        </w:rPr>
        <w:t>对照先计算每个身份的平均相似度</w:t>
      </w:r>
      <w:r>
        <w:t xml:space="preserve"> </w:t>
      </w:r>
      <m:oMath>
        <m:sSub>
          <m:sSubPr/>
          <m:e>
            <m:acc>
              <m:accPr>
                <m:chr m:val="‾"/>
              </m:accPr>
              <m:e>
                <m:r>
                  <m:rPr/>
                  <m:t>z</m:t>
                </m:r>
              </m:e>
            </m:acc>
          </m:e>
          <m:sub>
            <m:r>
              <m:rPr/>
              <m:t>ic</m:t>
            </m:r>
          </m:sub>
        </m:sSub>
        <m:r>
          <m:rPr>
            <m:sty m:val="p"/>
          </m:rPr>
          <m:t>=|</m:t>
        </m:r>
        <m:sSub>
          <m:sSubPr/>
          <m:e>
            <m:r>
              <m:rPr/>
              <m:t>S</m:t>
            </m:r>
          </m:e>
          <m:sub>
            <m:r>
              <m:rPr/>
              <m:t>c</m:t>
            </m:r>
          </m:sub>
        </m:sSub>
        <m:sSup>
          <m:sSupPr/>
          <m:e>
            <m:r>
              <m:rPr>
                <m:sty m:val="p"/>
              </m:rPr>
              <m:t>|</m:t>
            </m:r>
          </m:e>
          <m:sup>
            <m:r>
              <m:rPr>
                <m:sty m:val="p"/>
              </m:rPr>
              <m:t>−</m:t>
            </m:r>
            <m:r>
              <m:rPr/>
              <m:t>1</m:t>
            </m:r>
          </m:sup>
        </m:sSup>
        <m:nary>
          <m:naryPr>
            <m:chr m:val="∑"/>
            <m:limLoc m:val="undOvr"/>
            <m:supHide m:val="1"/>
          </m:naryPr>
          <m:sub>
            <m:r>
              <m:rPr/>
              <m:t>j</m:t>
            </m:r>
            <m:r>
              <m:rPr>
                <m:sty m:val="p"/>
              </m:rPr>
              <m:t>∈</m:t>
            </m:r>
            <m:sSub>
              <m:sSubPr/>
              <m:e>
                <m:r>
                  <m:rPr/>
                  <m:t>S</m:t>
                </m:r>
              </m:e>
              <m:sub>
                <m:r>
                  <m:rPr/>
                  <m:t>c</m:t>
                </m:r>
              </m:sub>
            </m:sSub>
          </m:sub>
          <m:sup>
            <m:r>
              <m:rPr/>
              <m:t>​</m:t>
            </m:r>
          </m:sup>
          <m:e>
            <m:sSub>
              <m:sSubPr/>
              <m:e>
                <m:r>
                  <m:rPr/>
                  <m:t>z</m:t>
                </m:r>
              </m:e>
              <m:sub>
                <m:r>
                  <m:rPr/>
                  <m:t>ij</m:t>
                </m:r>
              </m:sub>
            </m:sSub>
          </m:e>
        </m:nary>
      </m:oMath>
      <w:r>
        <w:rPr>
          <w:rFonts w:hint="eastAsia"/>
        </w:rPr>
        <w:t>，再计算类别交叉熵：</w:t>
      </w:r>
    </w:p>
    <w:p w14:paraId="35EE8374">
      <w:pPr>
        <w:pStyle w:val="19"/>
        <w:ind w:firstLine="0"/>
      </w:pPr>
      <m:oMathPara>
        <m:oMathParaPr>
          <m:jc m:val="center"/>
        </m:oMathParaPr>
        <m:oMath>
          <m:sSubSup>
            <m:sSubSupPr/>
            <m:e>
              <m:r>
                <m:rPr/>
                <m:t>L</m:t>
              </m:r>
            </m:e>
            <m:sub>
              <m:r>
                <m:rPr/>
                <m:t>i</m:t>
              </m:r>
            </m:sub>
            <m:sup>
              <m:r>
                <m:rPr>
                  <m:sty m:val="p"/>
                </m:rPr>
                <m:t>GAP</m:t>
              </m:r>
            </m:sup>
          </m:sSubSup>
          <m:r>
            <m:rPr>
              <m:sty m:val="p"/>
            </m:rPr>
            <m:t>=log</m:t>
          </m:r>
          <m:nary>
            <m:naryPr>
              <m:chr m:val="∑"/>
              <m:limLoc m:val="undOvr"/>
              <m:supHide m:val="1"/>
            </m:naryPr>
            <m:sub>
              <m:r>
                <m:rPr/>
                <m:t>c</m:t>
              </m:r>
            </m:sub>
            <m:sup>
              <m:r>
                <m:rPr/>
                <m:t>​</m:t>
              </m:r>
            </m:sup>
            <m:e>
              <m:r>
                <m:rPr>
                  <m:sty m:val="p"/>
                </m:rPr>
                <m:t>exp</m:t>
              </m:r>
            </m:e>
          </m:nary>
          <m:r>
            <m:rPr>
              <m:sty m:val="p"/>
            </m:rPr>
            <m:t>(</m:t>
          </m:r>
          <m:sSub>
            <m:sSubPr/>
            <m:e>
              <m:acc>
                <m:accPr>
                  <m:chr m:val="‾"/>
                </m:accPr>
                <m:e>
                  <m:r>
                    <m:rPr/>
                    <m:t>z</m:t>
                  </m:r>
                </m:e>
              </m:acc>
            </m:e>
            <m:sub>
              <m:r>
                <m:rPr/>
                <m:t>ic</m:t>
              </m:r>
            </m:sub>
          </m:sSub>
          <m:r>
            <m:rPr>
              <m:sty m:val="p"/>
            </m:rPr>
            <m:t>)−</m:t>
          </m:r>
          <m:sSub>
            <m:sSubPr/>
            <m:e>
              <m:acc>
                <m:accPr>
                  <m:chr m:val="‾"/>
                </m:accPr>
                <m:e>
                  <m:r>
                    <m:rPr/>
                    <m:t>z</m:t>
                  </m:r>
                </m:e>
              </m:acc>
            </m:e>
            <m:sub>
              <m:r>
                <m:rPr/>
                <m:t>i</m:t>
              </m:r>
              <m:sSub>
                <m:sSubPr/>
                <m:e>
                  <m:r>
                    <m:rPr/>
                    <m:t>y</m:t>
                  </m:r>
                </m:e>
                <m:sub>
                  <m:r>
                    <m:rPr/>
                    <m:t>i</m:t>
                  </m:r>
                </m:sub>
              </m:sSub>
            </m:sub>
          </m:sSub>
          <m:r>
            <m:rPr>
              <m:sty m:val="p"/>
            </m:rPr>
            <m:t>.</m:t>
          </m:r>
          <m:r>
            <m:rPr/>
            <m:t>  </m:t>
          </m:r>
          <m:r>
            <m:rPr>
              <m:sty m:val="p"/>
            </m:rPr>
            <m:t>(</m:t>
          </m:r>
          <m:r>
            <m:rPr/>
            <m:t>3</m:t>
          </m:r>
          <m:r>
            <m:rPr>
              <m:sty m:val="p"/>
            </m:rPr>
            <m:t>)</m:t>
          </m:r>
        </m:oMath>
      </m:oMathPara>
    </w:p>
    <w:p w14:paraId="69FBE767">
      <w:pPr>
        <w:pStyle w:val="164"/>
        <w:ind w:firstLine="0"/>
      </w:pPr>
      <w:r>
        <w:t>式（1）至（3）界定本文比较的目标形式。三种方法共45个模型的训练完成记录、选中轮次、检查点与导出权重及评分目录对应已逐项核验（表S6）。SupCon-out与GAP通过导出catalog连接完整检查点与推理权重；SupCon-in通过selected-export连接训练与评分，不能直接要求不同容器的文件哈希相同。45份历史日志均含0至30轮记录，每模型630次更新、37800次图像输入；选模均为验证指标最大值首次出现的轮次。同一fold/seed下三方法的样本键、任务哈希与query mask序列一致，记录中训练身份仅来自对应训练集合，查询来自第6天、支持来自第1至5天（表S7）。本次为归档核验，未重新执行优化器状态恢复；任务与预算匹配不等于整个历史开发过程为预注册单因素试验。</w:t>
      </w:r>
    </w:p>
    <w:p>
      <w:pPr>
        <w:pStyle w:val="164"/>
        <w:ind w:firstLine="0"/>
      </w:pPr>
      <w:r>
        <w:t>训练配置见表S8。三种方法均从torchvision DenseNet-121的IMAGENET1K_V1官方权重开始，移除分类器，输出1024维归一化特征；特征提取器的卷积及BN仿射参数可训练，BN运行均值和方差固定，dropout为0。AdamW使用学习率1×10⁻⁴、权重衰减1×10⁻⁴、β=(0.9,0.999)、ε=1×10⁻⁸，关闭foreach、fused和AMSGrad；全局梯度范数裁剪为1。每轮21次更新，共30轮；前42次更新线性预热，随后按更新次数余弦衰减，第630次更新学习率为0。每任务60图（10个查询、每身份5张支持图），温度0.1，支持分支参与梯度；无随机图像增强，使用FP32并关闭AMP及TF32。三个实际训练入口及共享调度源码已与发布记录核对。选模使用既定10-way验证任务的K=5身份宏平均，完整验证候选检查仅在选模后进行，不重新选模。可恢复的外部blacktrim评分环境记录包括Python 3.11.15、PyTorch 2.7.1+cu126、torchvision 0.22.1+cu126、NumPy 2.2.6、Pillow 11.3.0和RTX 4090；该记录不用于推定所有历史训练节点具有完全相同的主机与驱动配置。</w:t>
      </w:r>
    </w:p>
    <w:p w14:paraId="016ED48F">
      <w:pPr>
        <w:pStyle w:val="19"/>
        <w:ind w:firstLine="0"/>
      </w:pPr>
      <w:r>
        <w:rPr>
          <w:rFonts w:hint="eastAsia"/>
        </w:rPr>
        <w:t>编码器与目标、评分的关系见图2。</w:t>
      </w:r>
    </w:p>
    <w:p w14:paraId="1365C944">
      <w:pPr>
        <w:keepNext w:val="1"/>
        <w:keepLines w:val="1"/>
        <w:spacing w:after="0" w:line="240" w:lineRule="auto"/>
        <w:ind w:left="0" w:right="0" w:firstLine="0"/>
        <w:jc w:val="center"/>
      </w:pPr>
      <w:r>
        <w:drawing>
          <wp:inline distT="0" distB="0" distL="114300" distR="114300">
            <wp:extent cx="5715000" cy="3690938"/>
            <wp:effectExtent l="0" t="0" r="0" b="0"/>
            <wp:docPr id="21" name="Picture" descr="图2. 编码器结构、训练目标与冻结评分流程。（a）三种方法采用相同编码器结构，但分别训练并保存各自权重。（b）B、GAP 与 SupCon-in 的正例聚合方式不同，数学定义见式（1）至（3）。（c）查询与支持图的归一化表征按式（4）进行评分。空间平均池化是共同编码器操作，不是 GAP 方法名称的含义。本图不表示已完成训练配置的逐项等同性审计，也不构成角色因素的消融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2. 编码器结构、训练目标与冻结评分流程。（a）三种方法采用相同编码器结构，但分别训练并保存各自权重。（b）B、GAP 与 SupCon-in 的正例聚合方式不同，数学定义见式（1）至（3）。（c）查询与支持图的归一化表征按式（4）进行评分。空间平均池化是共同编码器操作，不是 GAP 方法名称的含义。本图不表示已完成训练配置的逐项等同性审计，也不构成角色因素的消融证据。"/>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a:xfrm>
                      <a:off x="0" y="0"/>
                      <a:ext cx="5715000" cy="3690938"/>
                    </a:xfrm>
                    <a:prstGeom prst="rect">
                      <a:avLst/>
                    </a:prstGeom>
                    <a:noFill/>
                  </pic:spPr>
                </pic:pic>
              </a:graphicData>
            </a:graphic>
          </wp:inline>
        </w:drawing>
      </w:r>
    </w:p>
    <w:p w14:paraId="6A81094D">
      <w:pPr>
        <w:pStyle w:val="15"/>
        <w:keepNext w:val="0"/>
        <w:keepLines w:val="1"/>
        <w:ind w:firstLine="0"/>
      </w:pPr>
      <w:r>
        <w:t>图2. 编码器结构、训练目标与冻结评分。（a）三方法采用相同的DenseNet-121编码器结构，各自独立训练权重；经ReLU、空间平均池化和L2归一化，得到1024维表征。特征块与条形仅为结构符号，不表示实际层数、通道数或激活；聚合圆点也不表示训练时的实际正例数量，实际每查询有5个同身份支持正例。（b）SupCon-out对正例概率逐项取负对数后求平均；GAP先按身份平均相似度，再计算交叉熵；SupCon-in先对正例概率求平均，再取负对数。SupCon-out与SupCon-in均将相似度经温度缩放后，在全部支持图上做Softmax，见式（1）至（3）；此处概率归一化不同于表征的L2归一化。（c）冻结评分按式（4）计算查询与各支持图的余弦相似度，按身份取均值后排序，不再次归一化支持均值。编码器输入示例来自Holstein；查询与三张支持示例来自SideView的draw=0、身份491，图像索引不重叠，仅展示一个身份的查询和支持图，实际评分仍在全部54个候选身份中进行。网格和排序条为流程示意，并非这些样本的实测得分或预测。照片来源与许可同图1。空间平均池化是三方法共同操作，并非GAP方法名的含义；本图不构成角色因素消融证据。</w:t>
      </w:r>
    </w:p>
    <w:bookmarkEnd w:id="8"/>
    <w:p w14:paraId="1BFC2A2B">
      <w:pPr>
        <w:pStyle w:val="5"/>
        <w:ind w:firstLine="0"/>
      </w:pPr>
      <w:bookmarkStart w:id="9" w:name="冻结推理与候选身份排序"/>
      <w:r>
        <w:t xml:space="preserve">2.3 </w:t>
      </w:r>
      <w:r>
        <w:rPr>
          <w:rFonts w:hint="eastAsia"/>
        </w:rPr>
        <w:t>冻结推理与候选身份排序</w:t>
      </w:r>
    </w:p>
    <w:p w14:paraId="163865C0">
      <w:pPr>
        <w:pStyle w:val="164"/>
        <w:keepNext/>
        <w:ind w:firstLine="0"/>
      </w:pPr>
      <w:r>
        <w:rPr>
          <w:rFonts w:hint="eastAsia"/>
        </w:rPr>
        <w:t>评测时，查询图与每张支持图计算余弦相似度。每身份有</w:t>
      </w:r>
      <w:r>
        <w:t xml:space="preserve"> </w:t>
      </w:r>
      <m:oMath>
        <m:r>
          <m:rPr/>
          <m:t>K</m:t>
        </m:r>
      </m:oMath>
      <w:r>
        <w:t xml:space="preserve"> </w:t>
      </w:r>
      <w:r>
        <w:rPr>
          <w:rFonts w:hint="eastAsia"/>
        </w:rPr>
        <w:t>张支持图，其分数为</w:t>
      </w:r>
    </w:p>
    <w:p w14:paraId="729AF001">
      <w:pPr>
        <w:pStyle w:val="19"/>
        <w:ind w:firstLine="0"/>
      </w:pPr>
      <m:oMathPara>
        <m:oMathParaPr>
          <m:jc m:val="center"/>
        </m:oMathParaPr>
        <m:oMath>
          <m:sSub>
            <m:sSubPr/>
            <m:e>
              <m:r>
                <m:rPr/>
                <m:t>s</m:t>
              </m:r>
            </m:e>
            <m:sub>
              <m:r>
                <m:rPr/>
                <m:t>c</m:t>
              </m:r>
            </m:sub>
          </m:sSub>
          <m:r>
            <m:rPr>
              <m:sty m:val="p"/>
            </m:rPr>
            <m:t>(</m:t>
          </m:r>
          <m:r>
            <m:rPr/>
            <m:t>q</m:t>
          </m:r>
          <m:r>
            <m:rPr>
              <m:sty m:val="p"/>
            </m:rPr>
            <m:t>)=</m:t>
          </m:r>
          <m:f>
            <m:fPr/>
            <m:num>
              <m:r>
                <m:rPr/>
                <m:t>1</m:t>
              </m:r>
            </m:num>
            <m:den>
              <m:r>
                <m:rPr/>
                <m:t>K</m:t>
              </m:r>
            </m:den>
          </m:f>
          <m:nary>
            <m:naryPr>
              <m:chr m:val="∑"/>
              <m:limLoc m:val="undOvr"/>
            </m:naryPr>
            <m:sub>
              <m:r>
                <m:rPr/>
                <m:t>j</m:t>
              </m:r>
              <m:r>
                <m:rPr>
                  <m:sty m:val="p"/>
                </m:rPr>
                <m:t>=</m:t>
              </m:r>
              <m:r>
                <m:rPr/>
                <m:t>1</m:t>
              </m:r>
            </m:sub>
            <m:sup>
              <m:r>
                <m:rPr/>
                <m:t>K</m:t>
              </m:r>
            </m:sup>
            <m:e>
              <m:sSub>
                <m:sSubPr/>
                <m:e>
                  <m:r>
                    <m:rPr/>
                    <m:t>f</m:t>
                  </m:r>
                </m:e>
                <m:sub>
                  <m:r>
                    <m:rPr/>
                    <m:t>θ</m:t>
                  </m:r>
                </m:sub>
              </m:sSub>
            </m:e>
          </m:nary>
          <m:r>
            <m:rPr>
              <m:sty m:val="p"/>
            </m:rPr>
            <m:t>(</m:t>
          </m:r>
          <m:r>
            <m:rPr/>
            <m:t>q</m:t>
          </m:r>
          <m:sSup>
            <m:sSupPr/>
            <m:e>
              <m:r>
                <m:rPr>
                  <m:sty m:val="p"/>
                </m:rPr>
                <m:t>)</m:t>
              </m:r>
            </m:e>
            <m:sup>
              <m:r>
                <m:rPr>
                  <m:sty m:val="p"/>
                </m:rPr>
                <m:t>⊤</m:t>
              </m:r>
            </m:sup>
          </m:sSup>
          <m:sSub>
            <m:sSubPr/>
            <m:e>
              <m:r>
                <m:rPr/>
                <m:t>f</m:t>
              </m:r>
            </m:e>
            <m:sub>
              <m:r>
                <m:rPr/>
                <m:t>θ</m:t>
              </m:r>
            </m:sub>
          </m:sSub>
          <m:r>
            <m:rPr>
              <m:sty m:val="p"/>
            </m:rPr>
            <m:t>(</m:t>
          </m:r>
          <m:sSub>
            <m:sSubPr/>
            <m:e>
              <m:r>
                <m:rPr/>
                <m:t>x</m:t>
              </m:r>
            </m:e>
            <m:sub>
              <m:r>
                <m:rPr/>
                <m:t>cj</m:t>
              </m:r>
            </m:sub>
          </m:sSub>
          <m:r>
            <m:rPr>
              <m:sty m:val="p"/>
            </m:rPr>
            <m:t>),</m:t>
          </m:r>
          <m:r>
            <m:rPr/>
            <m:t>  </m:t>
          </m:r>
          <m:acc>
            <m:accPr/>
            <m:e>
              <m:r>
                <m:rPr/>
                <m:t>y</m:t>
              </m:r>
            </m:e>
          </m:acc>
          <m:r>
            <m:rPr>
              <m:sty m:val="p"/>
            </m:rPr>
            <m:t>(</m:t>
          </m:r>
          <m:r>
            <m:rPr/>
            <m:t>q</m:t>
          </m:r>
          <m:r>
            <m:rPr>
              <m:sty m:val="p"/>
            </m:rPr>
            <m:t>)=arg</m:t>
          </m:r>
          <m:limLow>
            <m:limLowPr/>
            <m:e>
              <m:r>
                <m:rPr>
                  <m:sty m:val="p"/>
                </m:rPr>
                <m:t>max</m:t>
              </m:r>
            </m:e>
            <m:lim>
              <m:r>
                <m:rPr/>
                <m:t>c</m:t>
              </m:r>
            </m:lim>
          </m:limLow>
          <m:sSub>
            <m:sSubPr/>
            <m:e>
              <m:r>
                <m:rPr/>
                <m:t>s</m:t>
              </m:r>
            </m:e>
            <m:sub>
              <m:r>
                <m:rPr/>
                <m:t>c</m:t>
              </m:r>
            </m:sub>
          </m:sSub>
          <m:r>
            <m:rPr>
              <m:sty m:val="p"/>
            </m:rPr>
            <m:t>(</m:t>
          </m:r>
          <m:r>
            <m:rPr/>
            <m:t>q</m:t>
          </m:r>
          <m:r>
            <m:rPr>
              <m:sty m:val="p"/>
            </m:rPr>
            <m:t>).</m:t>
          </m:r>
          <m:r>
            <m:rPr/>
            <m:t>  </m:t>
          </m:r>
          <m:r>
            <m:rPr>
              <m:sty m:val="p"/>
            </m:rPr>
            <m:t>(</m:t>
          </m:r>
          <m:r>
            <m:rPr/>
            <m:t>4</m:t>
          </m:r>
          <m:r>
            <m:rPr>
              <m:sty m:val="p"/>
            </m:rPr>
            <m:t>)</m:t>
          </m:r>
        </m:oMath>
      </m:oMathPara>
    </w:p>
    <w:p>
      <w:pPr>
        <w:pStyle w:val="164"/>
        <w:ind w:firstLine="0"/>
      </w:pPr>
      <w:r>
        <w:t>三个方法使用相同的身份平均评分定义。式（4）中的编码函数包含上述L2归一化，候选索引遍历当前任务的全部候选身份。支持表征先取均值后与查询点积，在实数运算下等价于逐支持图点积再平均；不得将支持均值再次L2归一化并当作等价操作。归档SideView实现采用先均值后点积，浮点计算顺序可能引入舍入差异。相同分数按协议中候选身份的既定次序破除并列，取首个最大值；Rank-1表示真实身份排名第一，Rank-5表示真实身份进入前五。</w:t>
      </w:r>
    </w:p>
    <w:p w14:paraId="29E6E5F5">
      <w:pPr>
        <w:pStyle w:val="19"/>
        <w:ind w:firstLine="0"/>
      </w:pPr>
      <w:r>
        <w:t>Holstein 使用五折及三个随机种子（17、29、43），每方法十五个冻结模型，三方法合计45个模型实例。验证任务的候选身份限定为相应验证集合，查询来自第6天，支持来自第1至5天。完整候选测试的支持图同样来自第1至5天，查询来自第7至9天；候选库为相应折的全部64或65个测试身份。已核验的15735个任务由1049张唯一查询图、五次支持抽样及K=1、3、5组成，三种子复用任务清单。种子标识模型重复，不代表新增动物或独立采集事件。</w:t>
      </w:r>
    </w:p>
    <w:p w14:paraId="78F60443">
      <w:pPr>
        <w:pStyle w:val="19"/>
        <w:ind w:firstLine="0"/>
      </w:pPr>
      <w:r>
        <w:t>SideView 使用五次固定抽样（draw）。每次在每个纳入身份内预留五张支持图，以其前1、3、5张分别构成嵌套支持集，余下图像作为查询。K=1或3时未用的支持图不回流查询，因此每次查询数均为577−54×5=307。同次抽样的支持与查询索引无交集；这只能证明图像索引隔离，不能证明采集事件独立。五次抽样及十五模型共享原始图像，不作为独立动物样本。</w:t>
      </w:r>
    </w:p>
    <w:bookmarkEnd w:id="9"/>
    <w:p w14:paraId="2BF4663B">
      <w:pPr>
        <w:pStyle w:val="5"/>
        <w:ind w:firstLine="0"/>
      </w:pPr>
      <w:bookmarkStart w:id="10" w:name="外部输入处理"/>
      <w:r>
        <w:t xml:space="preserve">2.4 </w:t>
      </w:r>
      <w:r>
        <w:rPr>
          <w:rFonts w:hint="eastAsia"/>
        </w:rPr>
        <w:t>外部输入处理</w:t>
      </w:r>
    </w:p>
    <w:p w14:paraId="2E2FEC20">
      <w:pPr>
        <w:pStyle w:val="164"/>
        <w:ind w:firstLine="0"/>
      </w:pPr>
      <w:r>
        <w:t>原始 letterbox 先按 EXIF 方向校正并转为 RGB，以 min(224/宽度, 224/高度) 等比例缩放，尺寸四舍五入且不小于1像素，采用 LANCZOS 插值；随后居中放入 RGB(128,128,128) 的224×224画布，不进行中心裁剪。输入除以255，再按 ImageNet 通道均值与标准差归一化。</w:t>
      </w:r>
    </w:p>
    <w:p w14:paraId="39D7448D">
      <w:pPr>
        <w:pStyle w:val="164"/>
        <w:ind w:firstLine="0"/>
      </w:pPr>
      <w:r>
        <w:t>灰背景方案（neutral128）分别校正原图与配套掩码的方向，将掩码转为灰度并用最近邻插值对齐原图尺寸；掩码值大于0视为前景，掩码外像素置为 RGB(128,128,128)，然后执行上述 letterbox。处理改变原图背景，而不只是填充边缘。</w:t>
      </w:r>
    </w:p>
    <w:p w14:paraId="166603C9">
      <w:pPr>
        <w:pStyle w:val="164"/>
        <w:ind w:firstLine="0"/>
      </w:pPr>
      <w:r>
        <w:t>geomalign-v3 仅用掩码定位前景外接框，向外扩展外接框长边的15%（至少8像素，并截断至图像边界），保留裁剪区域的原始 RGB 像素；裁剪图长边以 LANCZOS 缩放至200像素，再居中放入224×224灰色画布。blacktrim-v1 不使用掩码：在原图上以三个通道最大值不超过8定义黑像素，当边缘整行或整列至少95%为黑像素时向内逐行或逐列去除，单边设40%的裁除限制，随后执行224×224 letterbox。</w:t>
      </w:r>
    </w:p>
    <w:p w14:paraId="62BD7159">
      <w:pPr>
        <w:pStyle w:val="164"/>
        <w:ind w:firstLine="0"/>
      </w:pPr>
      <w:r>
        <w:t>上述操作定义来自现存处理代码。灰背景与原始letterbox清单的607行身份、样本键、索引和原图SHA256逐项一致，并与本地snapshots原始ZIP中的图像字节匹配。现已取回原始letterbox、灰背景、geomalign-v3和blacktrim-v1的历史结果文件，共2700条模型×抽样×K评分及145800条逐身份计数。记录唯一性、每条307个查询、逐身份计数求和和36组微平均/宏平均均经复算核验；后续下载文件的云端与本地SHA256一致。灰背景旧文件误保留letterbox名称字段，结合历史输入上传及启动目录解析为neutral128，原文件不作改写。该核验补齐计数来源，但不替代早期运行时输入字节回执，也不意味着全部版本保存了逐查询分数。</w:t>
      </w:r>
    </w:p>
    <w:p w14:paraId="43636232">
      <w:pPr>
        <w:pStyle w:val="19"/>
        <w:ind w:firstLine="0"/>
      </w:pPr>
      <w:r>
        <w:t>外部阶段不训练模型、不更新权重，但上述预处理方案经过外部评分反馈后比较，因此属于探索性分析。当前没有证据证明snapshots支持集与查询集按独立采集事件划分。本地snapshots归档未发现事件元数据表，图像也未提供EXIF采集日期；不能把其他子集的相对时间字段或文件编号直接视作本次样本的事件标签。</w:t>
      </w:r>
    </w:p>
    <w:bookmarkEnd w:id="10"/>
    <w:p w14:paraId="35526C5F">
      <w:pPr>
        <w:pStyle w:val="5"/>
        <w:ind w:firstLine="0"/>
      </w:pPr>
      <w:bookmarkStart w:id="11" w:name="汇总与不确定性"/>
      <w:r>
        <w:t xml:space="preserve">2.5 </w:t>
      </w:r>
      <w:r>
        <w:rPr>
          <w:rFonts w:hint="eastAsia"/>
        </w:rPr>
        <w:t>汇总与不确定性</w:t>
      </w:r>
    </w:p>
    <w:p w14:paraId="226DC16B">
      <w:pPr>
        <w:pStyle w:val="164"/>
        <w:ind w:firstLine="0"/>
      </w:pPr>
      <w:r>
        <w:t>Holstein 主终点为模型等权的任务准确率。先以每模型归档任务的正确排名次数除以任务数，得到该模型的 Rank-1 或 Rank-5；再对五折、三种子的十五个模型等权平均。该主指标混合 K=1、3、5，作为既有报告的综合描述，而非某一 K 的性能估计。十五行逐模型结果能够复现表1全部六个数值。各折每模型任务数分别为3090、3090、3135、3060和3360，五折任务模板合计15735，计入三个 seed 后每方法有47205个评分条目。模板数、评分条目数和324个身份数不能互换。</w:t>
      </w:r>
    </w:p>
    <w:p w14:paraId="2BCACFD6">
      <w:pPr>
        <w:pStyle w:val="164"/>
        <w:ind w:firstLine="0"/>
      </w:pPr>
      <w:r>
        <w:t>图4按候选数和 K 对评分条目分层，采用层内条目加权平均，因而不与模型等权主表混用。以 SupCon-out 为例，模型等权 Rank-1 为83.67%，评分条目加权为83.58%；两者权重不同，不构成相互矛盾的准确率。历史身份簇汇总83.2547%及其区间不作为当前主终点或推断证据。</w:t>
      </w:r>
    </w:p>
    <w:p w14:paraId="0E1DA440">
      <w:pPr>
        <w:pStyle w:val="164"/>
        <w:ind w:firstLine="0"/>
      </w:pPr>
      <w:r>
        <w:t>SideView 对每方法和每个 K，先在每模型、每次抽样的307个查询上计算正确率，再对十五模型与五次抽样等权平均，得到表2和表3的微平均准确率。身份宏平均则先分别计算54个身份的查询正确率并等权平均，之后同样对模型和抽样等权汇总，作为补充指标；微平均给予查询图较多的身份更大权重。每方法、每 K 的23025次重复评分不是23025张独立图像。</w:t>
      </w:r>
    </w:p>
    <w:p w14:paraId="25366C61">
      <w:pPr>
        <w:pStyle w:val="164"/>
        <w:ind w:firstLine="0"/>
      </w:pPr>
      <w:r>
        <w:t xml:space="preserve">Holstein主表保留描述性点估计和逐模型分布，不将模型点离散程度解释为置信区间。基于bootstrap重抽样思想 [32]，本文为SideView设计固定评测条件下的身份簇重抽样敏感性分析；以下分簇、配对索引与固定候选库规则为本文的分析设定，并非文献 [32] 直接给出的评测协议：先对十五模型和五次支持抽样的逐身份正确数取平均，再以54个身份为簇、有放回重抽样10000次；使用PCG64，种子为20260917。所有方法、K及预处理比较共享同一组重抽样索引，以正确数总和除以查询数总和保持微平均估计量，并取2.5%和97.5%分位数（线性插值）。候选库、模型和支持抽样固定，不随重抽样重新构建；所得为事后、逐项的条件敏感性区间，不是未见身份、新牧场或独立采集事件的确认性置信区间。九项比较不作整体显著性主张，不报告P值；分析说明于历史结果已知后制定。</w:t>
      </w:r>
    </w:p>
    <w:bookmarkEnd w:id="6"/>
    <w:bookmarkEnd w:id="11"/>
    <w:p w14:paraId="6174F529">
      <w:pPr>
        <w:pStyle w:val="4"/>
        <w:ind w:firstLine="0"/>
      </w:pPr>
      <w:bookmarkStart w:id="12" w:name="结果"/>
      <w:r>
        <w:t xml:space="preserve">3 </w:t>
      </w:r>
      <w:r>
        <w:rPr>
          <w:rFonts w:hint="eastAsia"/>
        </w:rPr>
        <w:t>结果</w:t>
      </w:r>
    </w:p>
    <w:p w14:paraId="61D61AFB">
      <w:pPr>
        <w:pStyle w:val="5"/>
        <w:ind w:firstLine="0"/>
      </w:pPr>
      <w:bookmarkStart w:id="13" w:name="holstein-完整候选库"/>
      <w:r>
        <w:t xml:space="preserve">3.1 Holstein </w:t>
      </w:r>
      <w:r>
        <w:rPr>
          <w:rFonts w:hint="eastAsia"/>
        </w:rPr>
        <w:t>完整候选库</w:t>
      </w:r>
    </w:p>
    <w:p w14:paraId="60FA1714">
      <w:pPr>
        <w:pStyle w:val="164"/>
        <w:ind w:firstLine="0"/>
      </w:pPr>
      <w:r>
        <w:t>在模型等权汇总下，SupCon-out 的 Rank-1 高于 GAP 9.56个百分点，高于 SupCon-in 18.14个百分点；Rank-5 的差值分别为2.04和8.05个百分点（表1、图3）。差值由未舍入逐模型均值计算，因而可与表内两位小数直接相减相差0.01个百分点。十五组配对 fold/seed 中，SupCon-out 的 Rank-1 点估计均高于两个对照；这些重复共享数据，排序一致性不等于统计显著性。</w:t>
      </w:r>
    </w:p>
    <w:p w14:paraId="76B4B2A0">
      <w:pPr>
        <w:pStyle w:val="15"/>
        <w:keepNext/>
        <w:ind w:firstLine="0"/>
      </w:pPr>
      <w:r>
        <w:t>表1. Holstein 完整候选库的模型等权点估计。每方法十五个模型，每个模型汇总其归档任务（混合 K=1、3、5），再在模型间等权平均；候选库限定为折内64或65个身份。统计定义见第2.5节，不附置信区间。</w:t>
      </w:r>
    </w:p>
    <w:tbl>
      <w:tblPr>
        <w:tblStyle w:val="32"/>
        <w:tblW w:w="0" w:type="auto"/>
        <w:tblInd w:w="0" w:type="dxa"/>
        <w:tblBorders>
          <w:top w:val="single" w:color="auto" w:sz="8" w:space="0"/>
          <w:left w:val="none" w:color="auto" w:sz="8" w:space="0"/>
          <w:bottom w:val="single" w:color="auto" w:sz="8" w:space="0"/>
          <w:right w:val="none" w:color="auto" w:sz="8" w:space="0"/>
          <w:insideH w:val="none" w:color="auto" w:sz="8" w:space="0"/>
          <w:insideV w:val="none" w:color="auto" w:sz="8" w:space="0"/>
        </w:tblBorders>
        <w:tblLayout w:type="fixed"/>
        <w:tblCellMar>
          <w:top w:w="0" w:type="dxa"/>
          <w:left w:w="108" w:type="dxa"/>
          <w:bottom w:w="0" w:type="dxa"/>
          <w:right w:w="108" w:type="dxa"/>
        </w:tblCellMar>
      </w:tblPr>
      <w:tblGrid>
        <w:gridCol w:w="3888"/>
        <w:gridCol w:w="2304"/>
        <w:gridCol w:w="2304"/>
      </w:tblGrid>
      <w:tr w14:paraId="4495B018">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blHeader/>
        </w:trPr>
        <w:tc>
          <w:tcPr>
            <w:tcW w:w="3888" w:type="dxa"/>
            <w:tcBorders>
              <w:bottom w:val="single" w:color="auto" w:sz="4" w:space="0"/>
            </w:tcBorders>
          </w:tcPr>
          <w:p w14:paraId="37BC25FE">
            <w:pPr>
              <w:keepNext/>
              <w:spacing w:before="80" w:after="80" w:line="264" w:lineRule="auto"/>
            </w:pPr>
            <w:r>
              <w:rPr>
                <w:b/>
                <w:sz w:val="19"/>
              </w:rPr>
              <w:t>方法</w:t>
            </w:r>
          </w:p>
        </w:tc>
        <w:tc>
          <w:tcPr>
            <w:tcW w:w="2304" w:type="dxa"/>
            <w:tcBorders>
              <w:bottom w:val="single" w:color="auto" w:sz="4" w:space="0"/>
            </w:tcBorders>
          </w:tcPr>
          <w:p w14:paraId="3A542D0D">
            <w:pPr>
              <w:keepNext/>
              <w:spacing w:before="80" w:after="80" w:line="264" w:lineRule="auto"/>
            </w:pPr>
            <w:r>
              <w:rPr>
                <w:b/>
                <w:sz w:val="19"/>
              </w:rPr>
              <w:t>Rank-1 (%)</w:t>
            </w:r>
          </w:p>
        </w:tc>
        <w:tc>
          <w:tcPr>
            <w:tcW w:w="2304" w:type="dxa"/>
            <w:tcBorders>
              <w:bottom w:val="single" w:color="auto" w:sz="4" w:space="0"/>
            </w:tcBorders>
          </w:tcPr>
          <w:p w14:paraId="49020AC8">
            <w:pPr>
              <w:keepNext/>
              <w:spacing w:before="80" w:after="80" w:line="264" w:lineRule="auto"/>
            </w:pPr>
            <w:r>
              <w:rPr>
                <w:b/>
                <w:sz w:val="19"/>
              </w:rPr>
              <w:t>Rank-5 (%)</w:t>
            </w:r>
          </w:p>
        </w:tc>
      </w:tr>
      <w:tr w14:paraId="10C86EA5">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3888" w:type="dxa"/>
          </w:tcPr>
          <w:p w14:paraId="53C95BA0">
            <w:pPr>
              <w:keepNext/>
              <w:spacing w:before="80" w:after="80" w:line="264" w:lineRule="auto"/>
            </w:pPr>
            <w:r>
              <w:rPr>
                <w:b w:val="0"/>
                <w:sz w:val="19"/>
              </w:rPr>
              <w:t>SupCon-out</w:t>
            </w:r>
          </w:p>
        </w:tc>
        <w:tc>
          <w:tcPr>
            <w:tcW w:w="2304" w:type="dxa"/>
          </w:tcPr>
          <w:p w14:paraId="3066E8B0">
            <w:pPr>
              <w:keepNext/>
              <w:spacing w:before="80" w:after="80" w:line="264" w:lineRule="auto"/>
              <w:rPr>
                <w:b/>
                <w:bCs/>
              </w:rPr>
            </w:pPr>
            <w:r>
              <w:rPr>
                <w:b/>
                <w:bCs/>
                <w:sz w:val="19"/>
              </w:rPr>
              <w:t>83.67</w:t>
            </w:r>
          </w:p>
        </w:tc>
        <w:tc>
          <w:tcPr>
            <w:tcW w:w="2304" w:type="dxa"/>
          </w:tcPr>
          <w:p w14:paraId="4F6C8470">
            <w:pPr>
              <w:keepNext/>
              <w:spacing w:before="80" w:after="80" w:line="264" w:lineRule="auto"/>
              <w:rPr>
                <w:b/>
                <w:bCs/>
              </w:rPr>
            </w:pPr>
            <w:r>
              <w:rPr>
                <w:b/>
                <w:bCs/>
                <w:sz w:val="19"/>
              </w:rPr>
              <w:t>98.78</w:t>
            </w:r>
          </w:p>
        </w:tc>
      </w:tr>
      <w:tr w14:paraId="410B7F93">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3888" w:type="dxa"/>
          </w:tcPr>
          <w:p w14:paraId="11C382CE">
            <w:pPr>
              <w:keepNext/>
              <w:spacing w:before="80" w:after="80" w:line="264" w:lineRule="auto"/>
            </w:pPr>
            <w:r>
              <w:rPr>
                <w:b w:val="0"/>
                <w:sz w:val="19"/>
              </w:rPr>
              <w:t>GAP</w:t>
            </w:r>
          </w:p>
        </w:tc>
        <w:tc>
          <w:tcPr>
            <w:tcW w:w="2304" w:type="dxa"/>
          </w:tcPr>
          <w:p w14:paraId="2D3D7DF4">
            <w:pPr>
              <w:keepNext/>
              <w:spacing w:before="80" w:after="80" w:line="264" w:lineRule="auto"/>
            </w:pPr>
            <w:r>
              <w:rPr>
                <w:b w:val="0"/>
                <w:sz w:val="19"/>
              </w:rPr>
              <w:t>74.10</w:t>
            </w:r>
          </w:p>
        </w:tc>
        <w:tc>
          <w:tcPr>
            <w:tcW w:w="2304" w:type="dxa"/>
          </w:tcPr>
          <w:p w14:paraId="6A4C526F">
            <w:pPr>
              <w:keepNext/>
              <w:spacing w:before="80" w:after="80" w:line="264" w:lineRule="auto"/>
            </w:pPr>
            <w:r>
              <w:rPr>
                <w:b w:val="0"/>
                <w:sz w:val="19"/>
              </w:rPr>
              <w:t>96.74</w:t>
            </w:r>
          </w:p>
        </w:tc>
      </w:tr>
      <w:tr w14:paraId="4B7B74EF">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3888" w:type="dxa"/>
          </w:tcPr>
          <w:p w14:paraId="5F3BECD7">
            <w:pPr>
              <w:keepNext w:val="0"/>
              <w:spacing w:before="80" w:after="80" w:line="264" w:lineRule="auto"/>
            </w:pPr>
            <w:r>
              <w:rPr>
                <w:b w:val="0"/>
                <w:sz w:val="19"/>
              </w:rPr>
              <w:t>SupCon-in</w:t>
            </w:r>
          </w:p>
        </w:tc>
        <w:tc>
          <w:tcPr>
            <w:tcW w:w="2304" w:type="dxa"/>
          </w:tcPr>
          <w:p w14:paraId="2ADDC3AE">
            <w:pPr>
              <w:keepNext w:val="0"/>
              <w:spacing w:before="80" w:after="80" w:line="264" w:lineRule="auto"/>
            </w:pPr>
            <w:r>
              <w:rPr>
                <w:b w:val="0"/>
                <w:sz w:val="19"/>
              </w:rPr>
              <w:t>65.52</w:t>
            </w:r>
          </w:p>
        </w:tc>
        <w:tc>
          <w:tcPr>
            <w:tcW w:w="2304" w:type="dxa"/>
          </w:tcPr>
          <w:p w14:paraId="51F3CA09">
            <w:pPr>
              <w:keepNext w:val="0"/>
              <w:spacing w:before="80" w:after="80" w:line="264" w:lineRule="auto"/>
            </w:pPr>
            <w:r>
              <w:rPr>
                <w:b w:val="0"/>
                <w:sz w:val="19"/>
              </w:rPr>
              <w:t>90.72</w:t>
            </w:r>
          </w:p>
        </w:tc>
      </w:tr>
    </w:tbl>
    <w:p w14:paraId="6E587E61">
      <w:pPr>
        <w:keepNext w:val="1"/>
        <w:keepLines w:val="1"/>
        <w:spacing w:after="0" w:line="240" w:lineRule="auto"/>
        <w:ind w:left="0" w:right="0" w:firstLine="0"/>
        <w:jc w:val="center"/>
      </w:pPr>
      <w:r>
        <w:drawing>
          <wp:inline distT="0" distB="0" distL="114300" distR="114300">
            <wp:extent cx="5715000" cy="2423160"/>
            <wp:effectExtent l="0" t="0" r="0" b="0"/>
            <wp:docPr id="28" name="Picture" descr="图3. Holstein 完整候选库的归档报告点估计。圆点与方点分别表示 Rank-1 和 Rank-5；候选库为折内 64 或 65 个身份。每方法覆盖五折和三个随机种子。主报告聚合口径与身份簇口径尚未统一，因此不绘制置信区间、不作显著性判断；数轴从 0% 起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3. Holstein 完整候选库的归档报告点估计。圆点与方点分别表示 Rank-1 和 Rank-5；候选库为折内 64 或 65 个身份。每方法覆盖五折和三个随机种子。主报告聚合口径与身份簇口径尚未统一，因此不绘制置信区间、不作显著性判断；数轴从 0% 起始。"/>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a:xfrm>
                      <a:off x="0" y="0"/>
                      <a:ext cx="5715000" cy="2423160"/>
                    </a:xfrm>
                    <a:prstGeom prst="rect">
                      <a:avLst/>
                    </a:prstGeom>
                    <a:noFill/>
                  </pic:spPr>
                </pic:pic>
              </a:graphicData>
            </a:graphic>
          </wp:inline>
        </w:drawing>
      </w:r>
    </w:p>
    <w:p w14:paraId="335A641B">
      <w:pPr>
        <w:pStyle w:val="15"/>
        <w:keepNext w:val="0"/>
        <w:keepLines w:val="1"/>
        <w:ind w:firstLine="0"/>
      </w:pPr>
      <w:r>
        <w:t>图3. Holstein 的逐模型分布与模型等权汇总。（a）Rank-1；（b）Rank-5。每种方法的十五个空心点对应五折、三种子的归档结果，纵向错位仅用于减少遮挡；菱形和数字表示模型等权均值。两个面板使用不同横轴范围，分别从40%和80%起始；不据图中距离跨指标比较效应。模型重复不是独立动物样本，点的分布不表示置信区间。</w:t>
      </w:r>
    </w:p>
    <w:bookmarkEnd w:id="13"/>
    <w:p w14:paraId="400EC717">
      <w:pPr>
        <w:pStyle w:val="5"/>
        <w:ind w:firstLine="0"/>
      </w:pPr>
      <w:bookmarkStart w:id="14" w:name="支持数量与候选规模分层"/>
      <w:r>
        <w:t xml:space="preserve">3.2 </w:t>
      </w:r>
      <w:r>
        <w:rPr>
          <w:rFonts w:hint="eastAsia"/>
        </w:rPr>
        <w:t>支持数量与候选规模分层</w:t>
      </w:r>
    </w:p>
    <w:p w14:paraId="2A0C28C6">
      <w:pPr>
        <w:pStyle w:val="164"/>
        <w:ind w:firstLine="0"/>
      </w:pPr>
      <w:r>
        <w:rPr>
          <w:rFonts w:hint="eastAsia"/>
        </w:rPr>
        <w:t>在</w:t>
      </w:r>
      <w:r>
        <w:t xml:space="preserve"> 65 </w:t>
      </w:r>
      <w:r>
        <w:rPr>
          <w:rFonts w:hint="eastAsia"/>
        </w:rPr>
        <w:t>候选分层中，SupCon-out</w:t>
      </w:r>
      <w:r>
        <w:t xml:space="preserve"> </w:t>
      </w:r>
      <w:r>
        <w:rPr>
          <w:rFonts w:hint="eastAsia"/>
        </w:rPr>
        <w:t>的</w:t>
      </w:r>
      <w:r>
        <w:t xml:space="preserve"> K=1、3、5 Rank-1 </w:t>
      </w:r>
      <w:r>
        <w:rPr>
          <w:rFonts w:hint="eastAsia"/>
        </w:rPr>
        <w:t>分别为</w:t>
      </w:r>
      <w:r>
        <w:t xml:space="preserve"> 79.99%、86.46% </w:t>
      </w:r>
      <w:r>
        <w:rPr>
          <w:rFonts w:hint="eastAsia"/>
        </w:rPr>
        <w:t>和</w:t>
      </w:r>
      <w:r>
        <w:t xml:space="preserve"> </w:t>
      </w:r>
      <w:r>
        <w:rPr>
          <w:rFonts w:hint="eastAsia"/>
        </w:rPr>
        <w:t>88.00%；在</w:t>
      </w:r>
      <w:r>
        <w:t xml:space="preserve"> 64 </w:t>
      </w:r>
      <w:r>
        <w:rPr>
          <w:rFonts w:hint="eastAsia"/>
        </w:rPr>
        <w:t>候选分层中分别为</w:t>
      </w:r>
      <w:r>
        <w:t xml:space="preserve"> 73.07%、80.98% </w:t>
      </w:r>
      <w:r>
        <w:rPr>
          <w:rFonts w:hint="eastAsia"/>
        </w:rPr>
        <w:t>和</w:t>
      </w:r>
      <w:r>
        <w:t xml:space="preserve"> </w:t>
      </w:r>
      <w:r>
        <w:rPr>
          <w:rFonts w:hint="eastAsia"/>
        </w:rPr>
        <w:t>83.04%（图4）。两组内增加支持图均伴随更高的点估计。由于候选规模与折及身份组成相联系，不能把两组差异解释为候选数量变化的因果效应。88.00%</w:t>
      </w:r>
      <w:r>
        <w:t xml:space="preserve"> </w:t>
      </w:r>
      <w:r>
        <w:rPr>
          <w:rFonts w:hint="eastAsia"/>
        </w:rPr>
        <w:t>是</w:t>
      </w:r>
      <w:r>
        <w:t xml:space="preserve"> 65 </w:t>
      </w:r>
      <w:r>
        <w:rPr>
          <w:rFonts w:hint="eastAsia"/>
        </w:rPr>
        <w:t>候选、K=5</w:t>
      </w:r>
      <w:r>
        <w:t xml:space="preserve"> </w:t>
      </w:r>
      <w:r>
        <w:rPr>
          <w:rFonts w:hint="eastAsia"/>
        </w:rPr>
        <w:t>子层，不替代主报告</w:t>
      </w:r>
      <w:r>
        <w:t xml:space="preserve"> 83.67%。</w:t>
      </w:r>
    </w:p>
    <w:p w14:paraId="4DA87591">
      <w:pPr>
        <w:pStyle w:val="19"/>
        <w:ind w:firstLine="0"/>
      </w:pPr>
      <w:r>
        <w:t>历史10-way/5-shot的任务清单已定位，但本轮未对该历史汇总完成独立重算；为保持终点一致，不将其纳入本稿正式结果比较。</w:t>
      </w:r>
    </w:p>
    <w:p w14:paraId="70F706EA">
      <w:pPr>
        <w:keepNext w:val="1"/>
        <w:keepLines w:val="1"/>
        <w:spacing w:after="0" w:line="240" w:lineRule="auto"/>
        <w:ind w:left="0" w:right="0" w:firstLine="0"/>
        <w:jc w:val="center"/>
      </w:pPr>
      <w:r>
        <w:drawing>
          <wp:inline distT="0" distB="0" distL="114300" distR="114300">
            <wp:extent cx="5715000" cy="2560320"/>
            <wp:effectExtent l="0" t="0" r="0" b="0"/>
            <wp:docPr id="32" name="Picture" descr="图4. Holstein 按候选身份数与支持图数量分层的 Rank-1。（a）64 候选分层，每个 K 有 3360 个归档评分条目；（b）65 候选分层，每个 K 有 12375 个条目。两分层的身份和折组成不同，不能将差异解释为候选数的因果作用。连接线仅辅助阅读；条目不是独立动物样本，未绘制未经核验的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4. Holstein 按候选身份数与支持图数量分层的 Rank-1。（a）64 候选分层，每个 K 有 3360 个归档评分条目；（b）65 候选分层，每个 K 有 12375 个条目。两分层的身份和折组成不同，不能将差异解释为候选数的因果作用。连接线仅辅助阅读；条目不是独立动物样本，未绘制未经核验的区间。"/>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a:xfrm>
                      <a:off x="0" y="0"/>
                      <a:ext cx="5715000" cy="2560320"/>
                    </a:xfrm>
                    <a:prstGeom prst="rect">
                      <a:avLst/>
                    </a:prstGeom>
                    <a:noFill/>
                  </pic:spPr>
                </pic:pic>
              </a:graphicData>
            </a:graphic>
          </wp:inline>
        </w:drawing>
      </w:r>
    </w:p>
    <w:p w14:paraId="157AAE33">
      <w:pPr>
        <w:pStyle w:val="15"/>
        <w:keepNext w:val="0"/>
        <w:keepLines w:val="1"/>
        <w:ind w:firstLine="0"/>
      </w:pPr>
      <w:r>
        <w:t>图4. Holstein 按候选规模和支持数量分层的 Rank-1。（a）64候选，每个 K 有3360个评分条目；（b）65候选，每个 K 有12375个条目。层内按评分条目加权，连线仅辅助阅读，共同纵轴范围为40%–100%。两分层的折和身份组成不同，不能将组间差异归因为候选数；未绘制推断性区间。</w:t>
      </w:r>
    </w:p>
    <w:bookmarkEnd w:id="14"/>
    <w:p w14:paraId="18088BEC">
      <w:pPr>
        <w:pStyle w:val="5"/>
        <w:ind w:firstLine="0"/>
      </w:pPr>
      <w:bookmarkStart w:id="15" w:name="sideview-冻结模型迁移"/>
      <w:r>
        <w:t xml:space="preserve">3.3 SideView </w:t>
      </w:r>
      <w:r>
        <w:rPr>
          <w:rFonts w:hint="eastAsia"/>
        </w:rPr>
        <w:t>冻结模型迁移</w:t>
      </w:r>
    </w:p>
    <w:p w14:paraId="5111C4B8">
      <w:pPr>
        <w:pStyle w:val="164"/>
        <w:ind w:firstLine="0"/>
      </w:pPr>
      <w:r>
        <w:rPr>
          <w:rFonts w:hint="eastAsia"/>
        </w:rPr>
        <w:t>灰背景处理下，SupCon-out</w:t>
      </w:r>
      <w:r>
        <w:t xml:space="preserve"> </w:t>
      </w:r>
      <w:r>
        <w:rPr>
          <w:rFonts w:hint="eastAsia"/>
        </w:rPr>
        <w:t>在三个</w:t>
      </w:r>
      <w:r>
        <w:t xml:space="preserve"> K </w:t>
      </w:r>
      <w:r>
        <w:rPr>
          <w:rFonts w:hint="eastAsia"/>
        </w:rPr>
        <w:t>条件下的微平均准确率点估计均高于</w:t>
      </w:r>
      <w:r>
        <w:t xml:space="preserve"> GAP </w:t>
      </w:r>
      <w:r>
        <w:rPr>
          <w:rFonts w:hint="eastAsia"/>
        </w:rPr>
        <w:t>和</w:t>
      </w:r>
      <w:r>
        <w:t xml:space="preserve"> </w:t>
      </w:r>
      <w:r>
        <w:rPr>
          <w:rFonts w:hint="eastAsia"/>
        </w:rPr>
        <w:t>SupCon-in（表2、图5）。K=5</w:t>
      </w:r>
      <w:r>
        <w:t xml:space="preserve"> </w:t>
      </w:r>
      <w:r>
        <w:rPr>
          <w:rFonts w:hint="eastAsia"/>
        </w:rPr>
        <w:t>时，SupCon-out</w:t>
      </w:r>
      <w:r>
        <w:t xml:space="preserve"> </w:t>
      </w:r>
      <w:r>
        <w:rPr>
          <w:rFonts w:hint="eastAsia"/>
        </w:rPr>
        <w:t>相对</w:t>
      </w:r>
      <w:r>
        <w:t xml:space="preserve"> GAP </w:t>
      </w:r>
      <w:r>
        <w:rPr>
          <w:rFonts w:hint="eastAsia"/>
        </w:rPr>
        <w:t>与</w:t>
      </w:r>
      <w:r>
        <w:t xml:space="preserve"> SupCon-in </w:t>
      </w:r>
      <w:r>
        <w:rPr>
          <w:rFonts w:hint="eastAsia"/>
        </w:rPr>
        <w:t>分别高</w:t>
      </w:r>
      <w:r>
        <w:t xml:space="preserve"> 10.70 </w:t>
      </w:r>
      <w:r>
        <w:rPr>
          <w:rFonts w:hint="eastAsia"/>
        </w:rPr>
        <w:t>和</w:t>
      </w:r>
      <w:r>
        <w:t xml:space="preserve"> 26.61 </w:t>
      </w:r>
      <w:r>
        <w:rPr>
          <w:rFonts w:hint="eastAsia"/>
        </w:rPr>
        <w:t>个百分点。因两个数据集的任务构造和汇总口径不同，不把</w:t>
      </w:r>
      <w:r>
        <w:t xml:space="preserve"> Holstein </w:t>
      </w:r>
      <w:r>
        <w:rPr>
          <w:rFonts w:hint="eastAsia"/>
        </w:rPr>
        <w:t>主表与该表直接相减作为标准化泛化损失。</w:t>
      </w:r>
    </w:p>
    <w:p w14:paraId="3D84364B">
      <w:pPr>
        <w:pStyle w:val="164"/>
        <w:ind w:firstLine="0"/>
      </w:pPr>
      <w:r>
        <w:t>条件身份重抽样结果见表S9。K=5时，SupCon-out相对GAP的差值为10.70个百分点，敏感性区间为7.81至13.56；相对SupCon-in为26.61个百分点，区间为23.05至30.28。SupCon-out灰背景相对原始letterbox为3.46个百分点，区间为1.51至5.36。这些区间不改变探索性定位，也不检验重新训练、候选库重新构建或跨采集事件的泛化。</w:t>
      </w:r>
    </w:p>
    <w:p w14:paraId="30F41BBA">
      <w:pPr>
        <w:pStyle w:val="15"/>
        <w:keepNext/>
        <w:ind w:firstLine="0"/>
      </w:pPr>
      <w:r>
        <w:rPr>
          <w:rFonts w:hint="eastAsia"/>
        </w:rPr>
        <w:t>表2.</w:t>
      </w:r>
      <w:r>
        <w:t xml:space="preserve"> SideViewCows2026 snapshots </w:t>
      </w:r>
      <w:r>
        <w:rPr>
          <w:rFonts w:hint="eastAsia"/>
        </w:rPr>
        <w:t>内部支持/查询协议的微平均准确率。使用</w:t>
      </w:r>
      <w:r>
        <w:t xml:space="preserve"> 54 </w:t>
      </w:r>
      <w:r>
        <w:rPr>
          <w:rFonts w:hint="eastAsia"/>
        </w:rPr>
        <w:t>个符合条件的身份；所有模型权重冻结。灰背景方案为探索性预处理比较结果。</w:t>
      </w:r>
    </w:p>
    <w:tbl>
      <w:tblPr>
        <w:tblStyle w:val="32"/>
        <w:tblW w:w="0" w:type="auto"/>
        <w:tblInd w:w="0" w:type="dxa"/>
        <w:tblBorders>
          <w:top w:val="single" w:color="auto" w:sz="8" w:space="0"/>
          <w:left w:val="none" w:color="auto" w:sz="8" w:space="0"/>
          <w:bottom w:val="single" w:color="auto" w:sz="8" w:space="0"/>
          <w:right w:val="none" w:color="auto" w:sz="8" w:space="0"/>
          <w:insideH w:val="none" w:color="auto" w:sz="8" w:space="0"/>
          <w:insideV w:val="none" w:color="auto" w:sz="8" w:space="0"/>
        </w:tblBorders>
        <w:tblLayout w:type="fixed"/>
        <w:tblCellMar>
          <w:top w:w="0" w:type="dxa"/>
          <w:left w:w="108" w:type="dxa"/>
          <w:bottom w:w="0" w:type="dxa"/>
          <w:right w:w="108" w:type="dxa"/>
        </w:tblCellMar>
      </w:tblPr>
      <w:tblGrid>
        <w:gridCol w:w="3024"/>
        <w:gridCol w:w="1872"/>
        <w:gridCol w:w="1872"/>
        <w:gridCol w:w="1872"/>
      </w:tblGrid>
      <w:tr w14:paraId="26E05F0B">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blHeader/>
        </w:trPr>
        <w:tc>
          <w:tcPr>
            <w:tcW w:w="3024" w:type="dxa"/>
            <w:tcBorders>
              <w:bottom w:val="single" w:color="auto" w:sz="4" w:space="0"/>
            </w:tcBorders>
          </w:tcPr>
          <w:p w14:paraId="1C68263C">
            <w:pPr>
              <w:keepNext/>
              <w:spacing w:before="80" w:after="80" w:line="264" w:lineRule="auto"/>
            </w:pPr>
            <w:r>
              <w:rPr>
                <w:b/>
                <w:sz w:val="19"/>
              </w:rPr>
              <w:t>方法；预处理</w:t>
            </w:r>
          </w:p>
        </w:tc>
        <w:tc>
          <w:tcPr>
            <w:tcW w:w="1872" w:type="dxa"/>
            <w:tcBorders>
              <w:bottom w:val="single" w:color="auto" w:sz="4" w:space="0"/>
            </w:tcBorders>
          </w:tcPr>
          <w:p w14:paraId="0F318630">
            <w:pPr>
              <w:keepNext/>
              <w:spacing w:before="80" w:after="80" w:line="264" w:lineRule="auto"/>
            </w:pPr>
            <w:r>
              <w:rPr>
                <w:b/>
                <w:sz w:val="19"/>
              </w:rPr>
              <w:t>K=1 (%)</w:t>
            </w:r>
          </w:p>
        </w:tc>
        <w:tc>
          <w:tcPr>
            <w:tcW w:w="1872" w:type="dxa"/>
            <w:tcBorders>
              <w:bottom w:val="single" w:color="auto" w:sz="4" w:space="0"/>
            </w:tcBorders>
          </w:tcPr>
          <w:p w14:paraId="2B734B04">
            <w:pPr>
              <w:keepNext/>
              <w:spacing w:before="80" w:after="80" w:line="264" w:lineRule="auto"/>
            </w:pPr>
            <w:r>
              <w:rPr>
                <w:b/>
                <w:sz w:val="19"/>
              </w:rPr>
              <w:t>K=3 (%)</w:t>
            </w:r>
          </w:p>
        </w:tc>
        <w:tc>
          <w:tcPr>
            <w:tcW w:w="1872" w:type="dxa"/>
            <w:tcBorders>
              <w:bottom w:val="single" w:color="auto" w:sz="4" w:space="0"/>
            </w:tcBorders>
          </w:tcPr>
          <w:p w14:paraId="318A9506">
            <w:pPr>
              <w:keepNext/>
              <w:spacing w:before="80" w:after="80" w:line="264" w:lineRule="auto"/>
            </w:pPr>
            <w:r>
              <w:rPr>
                <w:b/>
                <w:sz w:val="19"/>
              </w:rPr>
              <w:t>K=5 (%)</w:t>
            </w:r>
          </w:p>
        </w:tc>
      </w:tr>
      <w:tr w14:paraId="1B8A94EF">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Height w:val="90" w:hRule="atLeast"/>
        </w:trPr>
        <w:tc>
          <w:tcPr>
            <w:tcW w:w="3024" w:type="dxa"/>
          </w:tcPr>
          <w:p w14:paraId="720BA874">
            <w:pPr>
              <w:keepNext/>
              <w:spacing w:before="80" w:after="80" w:line="264" w:lineRule="auto"/>
            </w:pPr>
            <w:r>
              <w:rPr>
                <w:b w:val="0"/>
                <w:sz w:val="19"/>
              </w:rPr>
              <w:t>SupCon-out；灰背景</w:t>
            </w:r>
          </w:p>
        </w:tc>
        <w:tc>
          <w:tcPr>
            <w:tcW w:w="1872" w:type="dxa"/>
          </w:tcPr>
          <w:p w14:paraId="48791A53">
            <w:pPr>
              <w:keepNext/>
              <w:spacing w:before="80" w:after="80" w:line="264" w:lineRule="auto"/>
              <w:rPr>
                <w:b/>
                <w:bCs/>
              </w:rPr>
            </w:pPr>
            <w:r>
              <w:rPr>
                <w:b/>
                <w:bCs/>
                <w:sz w:val="19"/>
              </w:rPr>
              <w:t>50.10</w:t>
            </w:r>
          </w:p>
        </w:tc>
        <w:tc>
          <w:tcPr>
            <w:tcW w:w="1872" w:type="dxa"/>
          </w:tcPr>
          <w:p w14:paraId="390CC3F2">
            <w:pPr>
              <w:keepNext/>
              <w:spacing w:before="80" w:after="80" w:line="264" w:lineRule="auto"/>
              <w:rPr>
                <w:b/>
                <w:bCs/>
              </w:rPr>
            </w:pPr>
            <w:r>
              <w:rPr>
                <w:b/>
                <w:bCs/>
                <w:sz w:val="19"/>
              </w:rPr>
              <w:t>58.35</w:t>
            </w:r>
          </w:p>
        </w:tc>
        <w:tc>
          <w:tcPr>
            <w:tcW w:w="1872" w:type="dxa"/>
          </w:tcPr>
          <w:p w14:paraId="1EA9D0D5">
            <w:pPr>
              <w:keepNext/>
              <w:spacing w:before="80" w:after="80" w:line="264" w:lineRule="auto"/>
              <w:rPr>
                <w:b/>
                <w:bCs/>
              </w:rPr>
            </w:pPr>
            <w:r>
              <w:rPr>
                <w:b/>
                <w:bCs/>
                <w:sz w:val="19"/>
              </w:rPr>
              <w:t>61.82</w:t>
            </w:r>
          </w:p>
        </w:tc>
      </w:tr>
      <w:tr w14:paraId="4FA8D0EF">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3024" w:type="dxa"/>
          </w:tcPr>
          <w:p w14:paraId="4C941BD6">
            <w:pPr>
              <w:keepNext/>
              <w:spacing w:before="80" w:after="80" w:line="264" w:lineRule="auto"/>
            </w:pPr>
            <w:r>
              <w:rPr>
                <w:b w:val="0"/>
                <w:sz w:val="19"/>
              </w:rPr>
              <w:t>GAP；灰背景</w:t>
            </w:r>
          </w:p>
        </w:tc>
        <w:tc>
          <w:tcPr>
            <w:tcW w:w="1872" w:type="dxa"/>
          </w:tcPr>
          <w:p w14:paraId="2341D799">
            <w:pPr>
              <w:keepNext/>
              <w:spacing w:before="80" w:after="80" w:line="264" w:lineRule="auto"/>
            </w:pPr>
            <w:r>
              <w:rPr>
                <w:b w:val="0"/>
                <w:sz w:val="19"/>
              </w:rPr>
              <w:t>39.31</w:t>
            </w:r>
          </w:p>
        </w:tc>
        <w:tc>
          <w:tcPr>
            <w:tcW w:w="1872" w:type="dxa"/>
          </w:tcPr>
          <w:p w14:paraId="1687BD64">
            <w:pPr>
              <w:keepNext/>
              <w:spacing w:before="80" w:after="80" w:line="264" w:lineRule="auto"/>
            </w:pPr>
            <w:r>
              <w:rPr>
                <w:b w:val="0"/>
                <w:sz w:val="19"/>
              </w:rPr>
              <w:t>47.16</w:t>
            </w:r>
          </w:p>
        </w:tc>
        <w:tc>
          <w:tcPr>
            <w:tcW w:w="1872" w:type="dxa"/>
          </w:tcPr>
          <w:p w14:paraId="42A275AA">
            <w:pPr>
              <w:keepNext/>
              <w:spacing w:before="80" w:after="80" w:line="264" w:lineRule="auto"/>
            </w:pPr>
            <w:r>
              <w:rPr>
                <w:b w:val="0"/>
                <w:sz w:val="19"/>
              </w:rPr>
              <w:t>51.12</w:t>
            </w:r>
          </w:p>
        </w:tc>
      </w:tr>
      <w:tr w14:paraId="70862384">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3024" w:type="dxa"/>
          </w:tcPr>
          <w:p w14:paraId="1ACB3DF6">
            <w:pPr>
              <w:keepNext w:val="0"/>
              <w:spacing w:before="80" w:after="80" w:line="264" w:lineRule="auto"/>
            </w:pPr>
            <w:r>
              <w:rPr>
                <w:b w:val="0"/>
                <w:sz w:val="19"/>
              </w:rPr>
              <w:t>SupCon-in；灰背景</w:t>
            </w:r>
          </w:p>
        </w:tc>
        <w:tc>
          <w:tcPr>
            <w:tcW w:w="1872" w:type="dxa"/>
          </w:tcPr>
          <w:p w14:paraId="0A10F48A">
            <w:pPr>
              <w:keepNext w:val="0"/>
              <w:spacing w:before="80" w:after="80" w:line="264" w:lineRule="auto"/>
            </w:pPr>
            <w:r>
              <w:rPr>
                <w:b w:val="0"/>
                <w:sz w:val="19"/>
              </w:rPr>
              <w:t>28.42</w:t>
            </w:r>
          </w:p>
        </w:tc>
        <w:tc>
          <w:tcPr>
            <w:tcW w:w="1872" w:type="dxa"/>
          </w:tcPr>
          <w:p w14:paraId="0EB953F0">
            <w:pPr>
              <w:keepNext w:val="0"/>
              <w:spacing w:before="80" w:after="80" w:line="264" w:lineRule="auto"/>
            </w:pPr>
            <w:r>
              <w:rPr>
                <w:b w:val="0"/>
                <w:sz w:val="19"/>
              </w:rPr>
              <w:t>32.86</w:t>
            </w:r>
          </w:p>
        </w:tc>
        <w:tc>
          <w:tcPr>
            <w:tcW w:w="1872" w:type="dxa"/>
          </w:tcPr>
          <w:p w14:paraId="4CBB6A94">
            <w:pPr>
              <w:keepNext w:val="0"/>
              <w:spacing w:before="80" w:after="80" w:line="264" w:lineRule="auto"/>
            </w:pPr>
            <w:r>
              <w:rPr>
                <w:b w:val="0"/>
                <w:sz w:val="19"/>
              </w:rPr>
              <w:t>35.21</w:t>
            </w:r>
          </w:p>
        </w:tc>
      </w:tr>
    </w:tbl>
    <w:p w14:paraId="04D56ACE">
      <w:pPr>
        <w:keepNext w:val="1"/>
        <w:keepLines w:val="1"/>
        <w:spacing w:after="0" w:line="240" w:lineRule="auto"/>
        <w:ind w:left="0" w:right="0" w:firstLine="0"/>
        <w:jc w:val="center"/>
      </w:pPr>
      <w:r>
        <w:drawing>
          <wp:inline distT="0" distB="0" distL="114300" distR="114300">
            <wp:extent cx="5715000" cy="2606040"/>
            <wp:effectExtent l="0" t="0" r="0" b="0"/>
            <wp:docPr id="36" name="Picture" descr="图5. 灰背景处理下 SideViewCows2026 的探索性迁移结果。分析纳入 snapshots 中 54 个身份、577 张图像，候选库为 54 个身份。每个抽样使用 307 个查询，按 15 个模型与 5 个抽样等权汇总微平均准确率；K=1、3、5 的支持集嵌套。模型与抽样重复不等同于独立动物样本，采集事件独立性未核验，无确认性置信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5. 灰背景处理下 SideViewCows2026 的探索性迁移结果。分析纳入 snapshots 中 54 个身份、577 张图像，候选库为 54 个身份。每个抽样使用 307 个查询，按 15 个模型与 5 个抽样等权汇总微平均准确率；K=1、3、5 的支持集嵌套。模型与抽样重复不等同于独立动物样本，采集事件独立性未核验，无确认性置信区间。"/>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a:xfrm>
                      <a:off x="0" y="0"/>
                      <a:ext cx="5715000" cy="2606040"/>
                    </a:xfrm>
                    <a:prstGeom prst="rect">
                      <a:avLst/>
                    </a:prstGeom>
                    <a:noFill/>
                  </pic:spPr>
                </pic:pic>
              </a:graphicData>
            </a:graphic>
          </wp:inline>
        </w:drawing>
      </w:r>
    </w:p>
    <w:p w14:paraId="0C2DC23E">
      <w:pPr>
        <w:pStyle w:val="15"/>
        <w:keepNext w:val="0"/>
        <w:keepLines w:val="1"/>
        <w:ind w:firstLine="0"/>
      </w:pPr>
      <w:r>
        <w:t>图5. 灰背景输入下的SideViewCows2026探索性迁移结果。每次抽样有54个候选身份和307个查询，K=1、3、5的支持集嵌套；微平均准确率按十五模型、五次抽样等权汇总。纵轴范围为20%–70%，九个点估计已由恢复的历史计数复算，不改变原图数值；补充身份重抽样敏感性区间见表S9，不作为确认性检验。模型与抽样重复不等于独立采集事件。</w:t>
      </w:r>
    </w:p>
    <w:bookmarkEnd w:id="15"/>
    <w:p w14:paraId="55E3178F">
      <w:pPr>
        <w:pStyle w:val="5"/>
        <w:ind w:firstLine="0"/>
      </w:pPr>
      <w:bookmarkStart w:id="16" w:name="预处理敏感性"/>
      <w:r>
        <w:t xml:space="preserve">3.4 </w:t>
      </w:r>
      <w:r>
        <w:rPr>
          <w:rFonts w:hint="eastAsia"/>
        </w:rPr>
        <w:t>预处理敏感性</w:t>
      </w:r>
    </w:p>
    <w:p w14:paraId="1328B78D">
      <w:pPr>
        <w:pStyle w:val="164"/>
        <w:ind w:firstLine="0"/>
      </w:pPr>
      <w:r>
        <w:rPr>
          <w:rFonts w:hint="eastAsia"/>
        </w:rPr>
        <w:t>对</w:t>
      </w:r>
      <w:r>
        <w:t xml:space="preserve"> SupCon-out </w:t>
      </w:r>
      <w:r>
        <w:rPr>
          <w:rFonts w:hint="eastAsia"/>
        </w:rPr>
        <w:t>而言，灰背景相对原始</w:t>
      </w:r>
      <w:r>
        <w:t xml:space="preserve"> letterbox </w:t>
      </w:r>
      <w:r>
        <w:rPr>
          <w:rFonts w:hint="eastAsia"/>
        </w:rPr>
        <w:t>在</w:t>
      </w:r>
      <w:r>
        <w:t xml:space="preserve"> K=1、3、5 </w:t>
      </w:r>
      <w:r>
        <w:rPr>
          <w:rFonts w:hint="eastAsia"/>
        </w:rPr>
        <w:t>分别提高</w:t>
      </w:r>
      <w:r>
        <w:t xml:space="preserve"> 3.21、3.27、3.46 </w:t>
      </w:r>
      <w:r>
        <w:rPr>
          <w:rFonts w:hint="eastAsia"/>
        </w:rPr>
        <w:t>个百分点（用未舍入汇总值计算）。geomalign-v3</w:t>
      </w:r>
      <w:r>
        <w:t xml:space="preserve"> </w:t>
      </w:r>
      <w:r>
        <w:rPr>
          <w:rFonts w:hint="eastAsia"/>
        </w:rPr>
        <w:t>与</w:t>
      </w:r>
      <w:r>
        <w:t xml:space="preserve"> blacktrim-v1 </w:t>
      </w:r>
      <w:r>
        <w:rPr>
          <w:rFonts w:hint="eastAsia"/>
        </w:rPr>
        <w:t>未超过灰背景；geomalign-v3</w:t>
      </w:r>
      <w:r>
        <w:t xml:space="preserve"> </w:t>
      </w:r>
      <w:r>
        <w:rPr>
          <w:rFonts w:hint="eastAsia"/>
        </w:rPr>
        <w:t>在</w:t>
      </w:r>
      <w:r>
        <w:t xml:space="preserve"> K=5 </w:t>
      </w:r>
      <w:r>
        <w:rPr>
          <w:rFonts w:hint="eastAsia"/>
        </w:rPr>
        <w:t>还略低于原始</w:t>
      </w:r>
      <w:r>
        <w:t xml:space="preserve"> </w:t>
      </w:r>
      <w:r>
        <w:rPr>
          <w:rFonts w:hint="eastAsia"/>
        </w:rPr>
        <w:t>letterbox（表3、图6）。因此，当前结果表明灰背景与所列协议下较高的点估计相关，但事后比较不能建立确认性处理效果；几何调整也未持续改善识别率。</w:t>
      </w:r>
    </w:p>
    <w:p w14:paraId="41139AD5">
      <w:pPr>
        <w:pStyle w:val="15"/>
        <w:keepNext/>
        <w:ind w:firstLine="0"/>
      </w:pPr>
      <w:r>
        <w:t>表3. SideView同一预处理下的方法比较及SupCon-out方法的其他预处理结果（查询微平均准确率，%）。</w:t>
      </w:r>
    </w:p>
    <w:tbl>
      <w:tblPr>
        <w:tblStyle w:val="32"/>
        <w:tblW w:w="0" w:type="auto"/>
        <w:tblInd w:w="0" w:type="dxa"/>
        <w:tblBorders>
          <w:top w:val="single" w:color="auto" w:sz="8" w:space="0"/>
          <w:left w:val="none" w:color="auto" w:sz="8" w:space="0"/>
          <w:bottom w:val="single" w:color="auto" w:sz="8" w:space="0"/>
          <w:right w:val="none" w:color="auto" w:sz="8" w:space="0"/>
          <w:insideH w:val="none" w:color="auto" w:sz="8" w:space="0"/>
          <w:insideV w:val="none" w:color="auto" w:sz="8" w:space="0"/>
        </w:tblBorders>
        <w:tblLayout w:type="fixed"/>
        <w:tblCellMar>
          <w:top w:w="0" w:type="dxa"/>
          <w:left w:w="108" w:type="dxa"/>
          <w:bottom w:w="0" w:type="dxa"/>
          <w:right w:w="108" w:type="dxa"/>
        </w:tblCellMar>
      </w:tblPr>
      <w:tblGrid>
        <w:gridCol w:w="2324"/>
        <w:gridCol w:w="1474"/>
        <w:gridCol w:w="1474"/>
        <w:gridCol w:w="1474"/>
        <w:gridCol w:w="1474"/>
      </w:tblGrid>
      <w:tr w14:paraId="75541D49">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blHeader/>
        </w:trPr>
        <w:tc>
          <w:tcPr>
            <w:tcW w:w="2324" w:type="dxa"/>
            <w:tcBorders>
              <w:bottom w:val="single" w:color="auto" w:sz="4" w:space="0"/>
            </w:tcBorders>
            <w:vAlign w:val="center"/>
          </w:tcPr>
          <w:p w14:paraId="05109D04">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left"/>
              <w:textAlignment w:val="auto"/>
            </w:pPr>
            <w:r>
              <w:rPr>
                <w:b/>
                <w:sz w:val="20"/>
              </w:rPr>
              <w:t>预处理</w:t>
            </w:r>
          </w:p>
        </w:tc>
        <w:tc>
          <w:tcPr>
            <w:tcW w:w="1474" w:type="dxa"/>
            <w:tcBorders>
              <w:bottom w:val="single" w:color="auto" w:sz="4" w:space="0"/>
            </w:tcBorders>
            <w:vAlign w:val="center"/>
          </w:tcPr>
          <w:p w14:paraId="4C6FAEB5">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方法</w:t>
            </w:r>
          </w:p>
        </w:tc>
        <w:tc>
          <w:tcPr>
            <w:tcW w:w="1474" w:type="dxa"/>
            <w:tcBorders>
              <w:bottom w:val="single" w:color="auto" w:sz="4" w:space="0"/>
            </w:tcBorders>
            <w:vAlign w:val="center"/>
          </w:tcPr>
          <w:p w14:paraId="1A5C6B36">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K=1 (%)</w:t>
            </w:r>
          </w:p>
        </w:tc>
        <w:tc>
          <w:tcPr>
            <w:tcW w:w="1474" w:type="dxa"/>
            <w:tcBorders>
              <w:bottom w:val="single" w:color="auto" w:sz="4" w:space="0"/>
            </w:tcBorders>
            <w:vAlign w:val="center"/>
          </w:tcPr>
          <w:p w14:paraId="662234AE">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K=3 (%)</w:t>
            </w:r>
          </w:p>
        </w:tc>
        <w:tc>
          <w:tcPr>
            <w:tcW w:w="1474" w:type="dxa"/>
            <w:tcBorders>
              <w:bottom w:val="single" w:color="auto" w:sz="4" w:space="0"/>
            </w:tcBorders>
            <w:vAlign w:val="center"/>
          </w:tcPr>
          <w:p w14:paraId="2CA65BD3">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K=5 (%)</w:t>
            </w:r>
          </w:p>
        </w:tc>
      </w:tr>
      <w:tr w14:paraId="292E9B4C">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restart"/>
            <w:shd w:val="clear" w:color="auto" w:fill="F2F2F2"/>
            <w:vAlign w:val="center"/>
          </w:tcPr>
          <w:p w14:paraId="2F953B75">
            <w:pPr>
              <w:keepNext/>
              <w:keepLines w:val="0"/>
              <w:pageBreakBefore w:val="0"/>
              <w:widowControl/>
              <w:kinsoku/>
              <w:wordWrap/>
              <w:overflowPunct/>
              <w:topLinePunct w:val="0"/>
              <w:autoSpaceDE/>
              <w:autoSpaceDN/>
              <w:bidi w:val="0"/>
              <w:adjustRightInd/>
              <w:snapToGrid/>
              <w:ind w:left="0" w:firstLine="0"/>
              <w:textAlignment w:val="auto"/>
            </w:pPr>
            <w:r>
              <w:rPr>
                <w:sz w:val="20"/>
              </w:rPr>
              <w:t>灰背景</w:t>
            </w:r>
          </w:p>
        </w:tc>
        <w:tc>
          <w:tcPr>
            <w:tcW w:w="1474" w:type="dxa"/>
            <w:shd w:val="clear" w:color="auto" w:fill="F2F2F2"/>
            <w:vAlign w:val="center"/>
          </w:tcPr>
          <w:p w14:paraId="6AB9C824">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SupCon-out</w:t>
            </w:r>
          </w:p>
        </w:tc>
        <w:tc>
          <w:tcPr>
            <w:tcW w:w="1474" w:type="dxa"/>
            <w:shd w:val="clear" w:color="auto" w:fill="F2F2F2"/>
            <w:vAlign w:val="center"/>
          </w:tcPr>
          <w:p w14:paraId="2B232467">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50.10</w:t>
            </w:r>
          </w:p>
        </w:tc>
        <w:tc>
          <w:tcPr>
            <w:tcW w:w="1474" w:type="dxa"/>
            <w:shd w:val="clear" w:color="auto" w:fill="F2F2F2"/>
            <w:vAlign w:val="center"/>
          </w:tcPr>
          <w:p w14:paraId="403C791A">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58.35</w:t>
            </w:r>
          </w:p>
        </w:tc>
        <w:tc>
          <w:tcPr>
            <w:tcW w:w="1474" w:type="dxa"/>
            <w:shd w:val="clear" w:color="auto" w:fill="F2F2F2"/>
            <w:vAlign w:val="center"/>
          </w:tcPr>
          <w:p w14:paraId="052DF555">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61.82</w:t>
            </w:r>
          </w:p>
        </w:tc>
      </w:tr>
      <w:tr w14:paraId="57D4AFD9">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continue"/>
            <w:vAlign w:val="center"/>
          </w:tcPr>
          <w:p w14:paraId="5B0110F9">
            <w:pPr>
              <w:keepNext/>
              <w:keepLines w:val="0"/>
              <w:pageBreakBefore w:val="0"/>
              <w:widowControl/>
              <w:kinsoku/>
              <w:wordWrap/>
              <w:overflowPunct/>
              <w:topLinePunct w:val="0"/>
              <w:autoSpaceDE/>
              <w:autoSpaceDN/>
              <w:bidi w:val="0"/>
              <w:adjustRightInd/>
              <w:snapToGrid/>
              <w:textAlignment w:val="auto"/>
            </w:pPr>
          </w:p>
        </w:tc>
        <w:tc>
          <w:tcPr>
            <w:tcW w:w="1474" w:type="dxa"/>
            <w:vAlign w:val="center"/>
          </w:tcPr>
          <w:p w14:paraId="1BC3ADED">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GAP</w:t>
            </w:r>
          </w:p>
        </w:tc>
        <w:tc>
          <w:tcPr>
            <w:tcW w:w="1474" w:type="dxa"/>
            <w:vAlign w:val="center"/>
          </w:tcPr>
          <w:p w14:paraId="0A8B107F">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39.31</w:t>
            </w:r>
          </w:p>
        </w:tc>
        <w:tc>
          <w:tcPr>
            <w:tcW w:w="1474" w:type="dxa"/>
            <w:vAlign w:val="center"/>
          </w:tcPr>
          <w:p w14:paraId="63004283">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47.16</w:t>
            </w:r>
          </w:p>
        </w:tc>
        <w:tc>
          <w:tcPr>
            <w:tcW w:w="1474" w:type="dxa"/>
            <w:vAlign w:val="center"/>
          </w:tcPr>
          <w:p w14:paraId="698EDDF6">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51.12</w:t>
            </w:r>
          </w:p>
        </w:tc>
      </w:tr>
      <w:tr w14:paraId="4BF5858F">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continue"/>
            <w:vAlign w:val="center"/>
          </w:tcPr>
          <w:p w14:paraId="033B1A84">
            <w:pPr>
              <w:keepNext/>
              <w:keepLines w:val="0"/>
              <w:pageBreakBefore w:val="0"/>
              <w:widowControl/>
              <w:kinsoku/>
              <w:wordWrap/>
              <w:overflowPunct/>
              <w:topLinePunct w:val="0"/>
              <w:autoSpaceDE/>
              <w:autoSpaceDN/>
              <w:bidi w:val="0"/>
              <w:adjustRightInd/>
              <w:snapToGrid/>
              <w:textAlignment w:val="auto"/>
            </w:pPr>
          </w:p>
        </w:tc>
        <w:tc>
          <w:tcPr>
            <w:tcW w:w="1474" w:type="dxa"/>
            <w:vAlign w:val="center"/>
          </w:tcPr>
          <w:p w14:paraId="33237800">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SupCon-in</w:t>
            </w:r>
          </w:p>
        </w:tc>
        <w:tc>
          <w:tcPr>
            <w:tcW w:w="1474" w:type="dxa"/>
            <w:vAlign w:val="center"/>
          </w:tcPr>
          <w:p w14:paraId="4A23EE3A">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28.42</w:t>
            </w:r>
          </w:p>
        </w:tc>
        <w:tc>
          <w:tcPr>
            <w:tcW w:w="1474" w:type="dxa"/>
            <w:vAlign w:val="center"/>
          </w:tcPr>
          <w:p w14:paraId="7F8982A2">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32.86</w:t>
            </w:r>
          </w:p>
        </w:tc>
        <w:tc>
          <w:tcPr>
            <w:tcW w:w="1474" w:type="dxa"/>
            <w:vAlign w:val="center"/>
          </w:tcPr>
          <w:p w14:paraId="2BE19EF4">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35.21</w:t>
            </w:r>
          </w:p>
        </w:tc>
      </w:tr>
      <w:tr w14:paraId="0E3FAF25">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restart"/>
            <w:shd w:val="clear" w:color="auto" w:fill="F2F2F2"/>
            <w:vAlign w:val="center"/>
          </w:tcPr>
          <w:p w14:paraId="16D6BD32">
            <w:pPr>
              <w:keepNext/>
              <w:keepLines w:val="0"/>
              <w:pageBreakBefore w:val="0"/>
              <w:widowControl/>
              <w:kinsoku/>
              <w:wordWrap/>
              <w:overflowPunct/>
              <w:topLinePunct w:val="0"/>
              <w:autoSpaceDE/>
              <w:autoSpaceDN/>
              <w:bidi w:val="0"/>
              <w:adjustRightInd/>
              <w:snapToGrid/>
              <w:ind w:left="0" w:firstLine="0"/>
              <w:textAlignment w:val="auto"/>
            </w:pPr>
            <w:r>
              <w:rPr>
                <w:sz w:val="20"/>
              </w:rPr>
              <w:t>blacktrim-v1</w:t>
            </w:r>
          </w:p>
        </w:tc>
        <w:tc>
          <w:tcPr>
            <w:tcW w:w="1474" w:type="dxa"/>
            <w:shd w:val="clear" w:color="auto" w:fill="F2F2F2"/>
            <w:vAlign w:val="center"/>
          </w:tcPr>
          <w:p w14:paraId="5D819ACC">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SupCon-out</w:t>
            </w:r>
          </w:p>
        </w:tc>
        <w:tc>
          <w:tcPr>
            <w:tcW w:w="1474" w:type="dxa"/>
            <w:shd w:val="clear" w:color="auto" w:fill="F2F2F2"/>
            <w:vAlign w:val="center"/>
          </w:tcPr>
          <w:p w14:paraId="3A510C31">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47.24</w:t>
            </w:r>
          </w:p>
        </w:tc>
        <w:tc>
          <w:tcPr>
            <w:tcW w:w="1474" w:type="dxa"/>
            <w:shd w:val="clear" w:color="auto" w:fill="F2F2F2"/>
            <w:vAlign w:val="center"/>
          </w:tcPr>
          <w:p w14:paraId="786D0BAE">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55.14</w:t>
            </w:r>
          </w:p>
        </w:tc>
        <w:tc>
          <w:tcPr>
            <w:tcW w:w="1474" w:type="dxa"/>
            <w:shd w:val="clear" w:color="auto" w:fill="F2F2F2"/>
            <w:vAlign w:val="center"/>
          </w:tcPr>
          <w:p w14:paraId="44ACDA9C">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sz w:val="20"/>
              </w:rPr>
              <w:t>58.25</w:t>
            </w:r>
          </w:p>
        </w:tc>
      </w:tr>
      <w:tr w14:paraId="66694E84">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continue"/>
            <w:vAlign w:val="center"/>
          </w:tcPr>
          <w:p w14:paraId="67AF863E">
            <w:pPr>
              <w:keepNext/>
              <w:keepLines w:val="0"/>
              <w:pageBreakBefore w:val="0"/>
              <w:widowControl/>
              <w:kinsoku/>
              <w:wordWrap/>
              <w:overflowPunct/>
              <w:topLinePunct w:val="0"/>
              <w:autoSpaceDE/>
              <w:autoSpaceDN/>
              <w:bidi w:val="0"/>
              <w:adjustRightInd/>
              <w:snapToGrid/>
              <w:textAlignment w:val="auto"/>
            </w:pPr>
          </w:p>
        </w:tc>
        <w:tc>
          <w:tcPr>
            <w:tcW w:w="1474" w:type="dxa"/>
            <w:vAlign w:val="center"/>
          </w:tcPr>
          <w:p w14:paraId="1E209D36">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GAP</w:t>
            </w:r>
          </w:p>
        </w:tc>
        <w:tc>
          <w:tcPr>
            <w:tcW w:w="1474" w:type="dxa"/>
            <w:vAlign w:val="center"/>
          </w:tcPr>
          <w:p w14:paraId="336AC965">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35.76</w:t>
            </w:r>
          </w:p>
        </w:tc>
        <w:tc>
          <w:tcPr>
            <w:tcW w:w="1474" w:type="dxa"/>
            <w:vAlign w:val="center"/>
          </w:tcPr>
          <w:p w14:paraId="70E99F4B">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43.08</w:t>
            </w:r>
          </w:p>
        </w:tc>
        <w:tc>
          <w:tcPr>
            <w:tcW w:w="1474" w:type="dxa"/>
            <w:vAlign w:val="center"/>
          </w:tcPr>
          <w:p w14:paraId="347B7F98">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47.20</w:t>
            </w:r>
          </w:p>
        </w:tc>
      </w:tr>
      <w:tr w14:paraId="6C4A0563">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Merge w:val="continue"/>
            <w:vAlign w:val="center"/>
          </w:tcPr>
          <w:p w14:paraId="188879A7">
            <w:pPr>
              <w:keepNext/>
              <w:keepLines w:val="0"/>
              <w:pageBreakBefore w:val="0"/>
              <w:widowControl/>
              <w:kinsoku/>
              <w:wordWrap/>
              <w:overflowPunct/>
              <w:topLinePunct w:val="0"/>
              <w:autoSpaceDE/>
              <w:autoSpaceDN/>
              <w:bidi w:val="0"/>
              <w:adjustRightInd/>
              <w:snapToGrid/>
              <w:textAlignment w:val="auto"/>
            </w:pPr>
          </w:p>
        </w:tc>
        <w:tc>
          <w:tcPr>
            <w:tcW w:w="1474" w:type="dxa"/>
            <w:vAlign w:val="center"/>
          </w:tcPr>
          <w:p w14:paraId="279A397D">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SupCon-in</w:t>
            </w:r>
          </w:p>
        </w:tc>
        <w:tc>
          <w:tcPr>
            <w:tcW w:w="1474" w:type="dxa"/>
            <w:vAlign w:val="center"/>
          </w:tcPr>
          <w:p w14:paraId="29C12C70">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26.21</w:t>
            </w:r>
          </w:p>
        </w:tc>
        <w:tc>
          <w:tcPr>
            <w:tcW w:w="1474" w:type="dxa"/>
            <w:vAlign w:val="center"/>
          </w:tcPr>
          <w:p w14:paraId="6A81FAF3">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28.97</w:t>
            </w:r>
          </w:p>
        </w:tc>
        <w:tc>
          <w:tcPr>
            <w:tcW w:w="1474" w:type="dxa"/>
            <w:vAlign w:val="center"/>
          </w:tcPr>
          <w:p w14:paraId="5F23F461">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31.31</w:t>
            </w:r>
          </w:p>
        </w:tc>
      </w:tr>
      <w:tr w14:paraId="14516064">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Align w:val="center"/>
          </w:tcPr>
          <w:p w14:paraId="2979EE11">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left"/>
              <w:textAlignment w:val="auto"/>
            </w:pPr>
            <w:r>
              <w:rPr>
                <w:b w:val="0"/>
                <w:sz w:val="20"/>
              </w:rPr>
              <w:t>原始 letterbox</w:t>
            </w:r>
          </w:p>
        </w:tc>
        <w:tc>
          <w:tcPr>
            <w:tcW w:w="1474" w:type="dxa"/>
            <w:vAlign w:val="center"/>
          </w:tcPr>
          <w:p w14:paraId="7B16BA5C">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SupCon-out</w:t>
            </w:r>
          </w:p>
        </w:tc>
        <w:tc>
          <w:tcPr>
            <w:tcW w:w="1474" w:type="dxa"/>
            <w:vAlign w:val="center"/>
          </w:tcPr>
          <w:p w14:paraId="3CBD5449">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46.90</w:t>
            </w:r>
          </w:p>
        </w:tc>
        <w:tc>
          <w:tcPr>
            <w:tcW w:w="1474" w:type="dxa"/>
            <w:vAlign w:val="center"/>
          </w:tcPr>
          <w:p w14:paraId="6D2C02DB">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55.07</w:t>
            </w:r>
          </w:p>
        </w:tc>
        <w:tc>
          <w:tcPr>
            <w:tcW w:w="1474" w:type="dxa"/>
            <w:vAlign w:val="center"/>
          </w:tcPr>
          <w:p w14:paraId="1E3250EA">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58.36</w:t>
            </w:r>
          </w:p>
        </w:tc>
      </w:tr>
      <w:tr w14:paraId="5FC671EE">
        <w:tblPrEx>
          <w:tblBorders>
            <w:top w:val="single" w:color="auto" w:sz="8" w:space="0"/>
            <w:left w:val="none" w:color="auto" w:sz="8" w:space="0"/>
            <w:bottom w:val="single" w:color="auto" w:sz="8" w:space="0"/>
            <w:right w:val="none" w:color="auto" w:sz="8" w:space="0"/>
            <w:insideH w:val="none" w:color="auto" w:sz="8" w:space="0"/>
            <w:insideV w:val="none" w:color="auto" w:sz="8" w:space="0"/>
          </w:tblBorders>
          <w:tblCellMar>
            <w:top w:w="0" w:type="dxa"/>
            <w:left w:w="108" w:type="dxa"/>
            <w:bottom w:w="0" w:type="dxa"/>
            <w:right w:w="108" w:type="dxa"/>
          </w:tblCellMar>
        </w:tblPrEx>
        <w:trPr>
          <w:cantSplit/>
        </w:trPr>
        <w:tc>
          <w:tcPr>
            <w:tcW w:w="2324" w:type="dxa"/>
            <w:vAlign w:val="center"/>
          </w:tcPr>
          <w:p w14:paraId="39418B0E">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left"/>
              <w:textAlignment w:val="auto"/>
            </w:pPr>
            <w:r>
              <w:rPr>
                <w:b w:val="0"/>
                <w:sz w:val="20"/>
              </w:rPr>
              <w:t>geomalign-v3</w:t>
            </w:r>
          </w:p>
        </w:tc>
        <w:tc>
          <w:tcPr>
            <w:tcW w:w="1474" w:type="dxa"/>
            <w:vAlign w:val="center"/>
          </w:tcPr>
          <w:p w14:paraId="42CD2885">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SupCon-out</w:t>
            </w:r>
          </w:p>
        </w:tc>
        <w:tc>
          <w:tcPr>
            <w:tcW w:w="1474" w:type="dxa"/>
            <w:vAlign w:val="center"/>
          </w:tcPr>
          <w:p w14:paraId="151E4B1A">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47.76</w:t>
            </w:r>
          </w:p>
        </w:tc>
        <w:tc>
          <w:tcPr>
            <w:tcW w:w="1474" w:type="dxa"/>
            <w:vAlign w:val="center"/>
          </w:tcPr>
          <w:p w14:paraId="1C8C1DDB">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55.14</w:t>
            </w:r>
          </w:p>
        </w:tc>
        <w:tc>
          <w:tcPr>
            <w:tcW w:w="1474" w:type="dxa"/>
            <w:vAlign w:val="center"/>
          </w:tcPr>
          <w:p w14:paraId="753B6237">
            <w:pPr>
              <w:keepNext/>
              <w:keepLines w:val="0"/>
              <w:pageBreakBefore w:val="0"/>
              <w:widowControl/>
              <w:kinsoku/>
              <w:wordWrap/>
              <w:overflowPunct/>
              <w:topLinePunct w:val="0"/>
              <w:autoSpaceDE/>
              <w:autoSpaceDN/>
              <w:bidi w:val="0"/>
              <w:adjustRightInd/>
              <w:snapToGrid/>
              <w:spacing w:before="80" w:after="80" w:line="264" w:lineRule="auto"/>
              <w:ind w:left="0" w:right="0" w:firstLine="0"/>
              <w:jc w:val="center"/>
              <w:textAlignment w:val="auto"/>
            </w:pPr>
            <w:r>
              <w:rPr>
                <w:b w:val="0"/>
                <w:sz w:val="20"/>
              </w:rPr>
              <w:t>57.95</w:t>
            </w:r>
          </w:p>
        </w:tc>
      </w:tr>
    </w:tbl>
    <w:p w14:paraId="25B0AAFF">
      <w:pPr>
        <w:spacing w:before="100" w:after="100"/>
      </w:pPr>
      <w:r>
        <w:rPr>
          <w:sz w:val="18"/>
        </w:rPr>
        <w:t>注：灰背景和blacktrim-v1分别按SupCon-out、GAP、SupCon-in排列；粗体表示同一预处理、同一K下三方法中的最高准确率，不表示统计显著性。末两行为SupCon-out的其他预处理结果，不作跨方法排名。本表保留原八项对照，数值经历史计数复算，两位小数呈现不变；完整36组组合见补充表S1。归档含按身份计数，不能据此重建逐查询预测；显示值之差可能与未舍入差值相差0.01个百分点。</w:t>
      </w:r>
    </w:p>
    <w:p w14:paraId="12C2534B">
      <w:pPr>
        <w:keepNext w:val="1"/>
        <w:keepLines w:val="1"/>
        <w:spacing w:after="0" w:line="240" w:lineRule="auto"/>
        <w:ind w:left="0" w:right="0" w:firstLine="0"/>
        <w:jc w:val="center"/>
      </w:pPr>
      <w:r>
        <w:drawing>
          <wp:inline distT="0" distB="0" distL="114300" distR="114300">
            <wp:extent cx="5715000" cy="3294062"/>
            <wp:effectExtent l="0" t="0" r="0" b="0"/>
            <wp:docPr id="40" name="Picture" descr="图6. B 在 SideViewCows2026 中的预处理敏感性。候选身份、查询数量和汇总方式与图5一致。全部方案为已有的探索性结果，未因本次制图重新优化数据。blacktrim-v1 以虚线表示，仅保留两位小数汇总，尚无本地逐查询工件；其他方案有未舍入汇总，但本稿仍不据此推断显著性。GAP 和 SupCon-in 的保留对照见表3及补充表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6. B 在 SideViewCows2026 中的预处理敏感性。候选身份、查询数量和汇总方式与图5一致。全部方案为已有的探索性结果，未因本次制图重新优化数据。blacktrim-v1 以虚线表示，仅保留两位小数汇总，尚无本地逐查询工件；其他方案有未舍入汇总，但本稿仍不据此推断显著性。GAP 和 SupCon-in 的保留对照见表3及补充表 S1。"/>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a:xfrm>
                      <a:off x="0" y="0"/>
                      <a:ext cx="5715000" cy="3294062"/>
                    </a:xfrm>
                    <a:prstGeom prst="rect">
                      <a:avLst/>
                    </a:prstGeom>
                    <a:noFill/>
                  </pic:spPr>
                </pic:pic>
              </a:graphicData>
            </a:graphic>
          </wp:inline>
        </w:drawing>
      </w:r>
    </w:p>
    <w:p w14:paraId="46E081CB">
      <w:pPr>
        <w:pStyle w:val="15"/>
        <w:keepNext w:val="0"/>
        <w:keepLines w:val="1"/>
        <w:ind w:firstLine="0"/>
      </w:pPr>
      <w:r>
        <w:t>图6. SupCon-out的外部预处理敏感性。每个单元格为固定K下各模型、各次抽样的查询微平均准确率，再对15个模型×5次抽样等权平均（%）。完整保留归档汇总表中的12个点估计，统一色标45%至65%；色深不表示统计显著性，重复抽样不视为独立样本。左侧为同一真实样本491_0008经归档函数生成的224×224输入，热图数值不是该示例图的准确率。原始letterbox保留原图已有黑边，新增填充为RGB(128,128,128)；灰背景将官方掩码外像素替换为灰色；geomalign-v3按掩码外接框及边距裁剪，保留框内背景后置于灰画布；blacktrim-v1裁除连续黑边后执行letterbox。示例仅展示处理外观，未按模型预测挑选；照片由Sebastian Möller发布[8]（CC BY 4.0）。候选身份与查询规则同图5；四版本均有模型/抽样/K计数及逐身份正确数，不由此认定均具备逐查询分数。GAP和SupCon-in对照见表3及补充表S1。 各K列最高点估计以粗体和深色描框标出，分别为50.10%、58.35%和61.82%；标注不表示统计显著性。</w:t>
      </w:r>
    </w:p>
    <w:bookmarkEnd w:id="12"/>
    <w:bookmarkEnd w:id="16"/>
    <w:p w14:paraId="62DEFBDC">
      <w:pPr>
        <w:pStyle w:val="4"/>
        <w:ind w:firstLine="0"/>
      </w:pPr>
      <w:bookmarkStart w:id="17" w:name="讨论"/>
      <w:r>
        <w:t xml:space="preserve">4 </w:t>
      </w:r>
      <w:r>
        <w:rPr>
          <w:rFonts w:hint="eastAsia"/>
        </w:rPr>
        <w:t>讨论</w:t>
      </w:r>
    </w:p>
    <w:p>
      <w:pPr>
        <w:pStyle w:val="164"/>
        <w:ind w:firstLine="0"/>
      </w:pPr>
      <w:r>
        <w:t>本研究最直接的观察是：在当前统一支持图评分下，SupCon-out 在源域主报告与外部灰背景比较中均取得更高点估计。其训练目标对每个正例概率取负对数后求平均，而 SupCon-in 在对数内聚合正例概率。这与既有监督对比学习对正例归约的区分一致 [5]。但目标形式、任务采样、查询/支持角色和选模共同组成实际方案，现有比较不足以单独证明角色非对称设计的因果价值。</w:t>
      </w:r>
    </w:p>
    <w:p w14:paraId="0E7B6D47">
      <w:pPr>
        <w:pStyle w:val="19"/>
        <w:ind w:firstLine="0"/>
      </w:pPr>
      <w:r>
        <w:rPr>
          <w:rFonts w:hint="eastAsia"/>
        </w:rPr>
        <w:t>完整候选库与十身份任务回答的问题不同。后者适用于候选身份已被可靠限制的任务，而前者让每个查询与折内全部评测身份竞争。当前结果强调论文需要同时交代候选规模和支持图数量。即使完整候选库</w:t>
      </w:r>
      <w:r>
        <w:t xml:space="preserve"> Rank-5 </w:t>
      </w:r>
      <w:r>
        <w:rPr>
          <w:rFonts w:hint="eastAsia"/>
        </w:rPr>
        <w:t>较高，也不能推断自动识别系统已达到相同水平：前五候选可能需要额外人工核验，且本实验未评估未知身份拒识。</w:t>
      </w:r>
    </w:p>
    <w:p w14:paraId="63B04EE4">
      <w:pPr>
        <w:pStyle w:val="19"/>
        <w:ind w:firstLine="0"/>
      </w:pPr>
      <w:r>
        <w:rPr>
          <w:rFonts w:hint="eastAsia"/>
        </w:rPr>
        <w:t>灰背景结果说明冻结权重不意味着输入处理无关紧要。移除部分背景可能改变目标与环境线索的相对贡献，也可能改变掩码边界、整体亮度和源域相似性。背景捷径是可讨论的解释之一，但未经控制性机制实验，不应断言它是外部低准确率的唯一根因</w:t>
      </w:r>
      <w:r>
        <w:t xml:space="preserve"> </w:t>
      </w:r>
      <w:r>
        <w:rPr>
          <w:rFonts w:hint="eastAsia"/>
        </w:rPr>
        <w:t>[26]。几何处理未持续改善的结果也表明，仅令图像在视觉上更接近源域，并不保证现有表征更易于匹配。</w:t>
      </w:r>
    </w:p>
    <w:p w14:paraId="26DC4A91">
      <w:pPr>
        <w:pStyle w:val="19"/>
        <w:ind w:firstLine="0"/>
      </w:pPr>
      <w:r>
        <w:t>本研究仍有明确的解释边界。Holstein身份筛选、实际划分和45模型归档对应已核验，但这不追溯性地消除历史方法开发与选择偏差，也不证明查询/支持角色设计的独立因果作用。SideView是复用公开数据，沿用发布者的身份标签与配套掩膜，本研究没有独立采集或重新标注全部身份。预处理曾受外部结果反馈影响，不能作为未触碰测试集上的确认性检验 [28]。同次抽样图像索引不重叠，但本地snapshots归档未提供事件表、607张图也未发现EXIF采集日期，故不能排除采集事件相关性 [27]。四种预处理计数文件已恢复，早期输入字节回执和逐查询分数仍不完整；54个身份也不能代表所有牧场。身份重抽样保留了现有候选竞争结构，其区间仅反映既定模型和图像条件下的身份组成敏感性。</w:t>
      </w:r>
    </w:p>
    <w:p w14:paraId="59A3D880">
      <w:pPr>
        <w:pStyle w:val="19"/>
        <w:ind w:firstLine="0"/>
      </w:pPr>
      <w:r>
        <w:rPr>
          <w:rFonts w:hint="eastAsia"/>
        </w:rPr>
        <w:t>这些边界不否定现有点估计，而是限定其适用范围：它们提供固定协议下的方法比较和外部输入敏感性证据。后续若进行确认性研究，应在未参与开发的采集事件或新数据上预先固定处理、划分和统计方法。本稿不将这类尚未进行的评估写成已有结果。</w:t>
      </w:r>
    </w:p>
    <w:bookmarkEnd w:id="17"/>
    <w:p w14:paraId="24665A98">
      <w:pPr>
        <w:pStyle w:val="4"/>
        <w:ind w:firstLine="0"/>
      </w:pPr>
      <w:bookmarkStart w:id="18" w:name="结论"/>
      <w:r>
        <w:t xml:space="preserve">5 </w:t>
      </w:r>
      <w:r>
        <w:rPr>
          <w:rFonts w:hint="eastAsia"/>
        </w:rPr>
        <w:t>结论</w:t>
      </w:r>
    </w:p>
    <w:p w14:paraId="2418C74C">
      <w:pPr>
        <w:pStyle w:val="164"/>
        <w:ind w:firstLine="0"/>
      </w:pPr>
      <w:r>
        <w:t>在 Holstein 折内完整候选库中，SupCon-out 的模型等权 Rank-1 为83.67%，高于 GAP 和 SupCon-in 的描述性点估计。SideViewCows2026 的冻结推理显示输入背景处理与识别结果相关，灰背景优于本稿保留的其他预处理方案，但几何调整未持续带来收益。本研究提供既有方案的协议内比较与探索性外部迁移证据；其结论不延伸到角色设计的独立因果效应、事件独立的外部确认或牧场部署可靠性。</w:t>
      </w:r>
    </w:p>
    <w:bookmarkEnd w:id="18"/>
    <w:p w14:paraId="596C815B">
      <w:pPr>
        <w:pStyle w:val="4"/>
        <w:ind w:firstLine="0"/>
      </w:pPr>
      <w:bookmarkStart w:id="19" w:name="补充材料"/>
      <w:r>
        <w:rPr>
          <w:rFonts w:hint="eastAsia"/>
        </w:rPr>
        <w:t>补充材料</w:t>
      </w:r>
    </w:p>
    <w:p>
      <w:pPr>
        <w:pStyle w:val="164"/>
        <w:ind w:firstLine="0"/>
      </w:pPr>
      <w:r>
        <w:t>表S1为SideView全部36组预处理结果及来源状态；表S2为Holstein逐模型汇总；表S3为候选数与K分层。表S4为383身份资格表，表S5为五折身份角色清单，表S6为45模型权重来源，表S7为训练消费与选模核对。新增表S8为核实后的训练配置，表S9为九项条件身份重抽样敏感性结果，表S10索引四种处理的2700条历史评分与145800条逐身份计数。另提供SHA256清单、复算及Python矢量绘图脚本。原始图像、45份冻结权重与Holstein历史评分矩阵的分发清单见Release reproducibility-v1.2.0；仓库提供可执行复现入口，实际访问权限和复现验证范围见数据可用性声明。文件齐备不等于已完成全量重新训练。</w:t>
      </w:r>
    </w:p>
    <w:p w14:paraId="60123C78">
      <w:pPr>
        <w:pStyle w:val="19"/>
        <w:ind w:firstLine="0"/>
      </w:pPr>
      <w:r>
        <w:rPr>
          <w:rFonts w:hint="eastAsia"/>
          <w:b/>
          <w:bCs/>
        </w:rPr>
        <w:t>作者贡献</w:t>
      </w:r>
      <w:r>
        <w:rPr>
          <w:rFonts w:hint="eastAsia"/>
        </w:rPr>
        <w:t>：概念设计、方法、软件、验证、分析、数据整理、原稿撰写、审阅、监督和项目管理的实际作者分工待确认。不得依据本稿自动分配作者贡献。</w:t>
      </w:r>
    </w:p>
    <w:p w14:paraId="3E3C5922">
      <w:pPr>
        <w:pStyle w:val="19"/>
        <w:ind w:firstLine="0"/>
      </w:pPr>
      <w:r>
        <w:rPr>
          <w:rFonts w:hint="eastAsia"/>
          <w:b/>
          <w:bCs/>
        </w:rPr>
        <w:t>资助</w:t>
      </w:r>
      <w:r>
        <w:rPr>
          <w:rFonts w:hint="eastAsia"/>
        </w:rPr>
        <w:t>：资助机构、项目名称及编号待作者确认；未确认前不声明“无外部资助”。</w:t>
      </w:r>
    </w:p>
    <w:p w14:paraId="696021C6">
      <w:pPr>
        <w:pStyle w:val="19"/>
        <w:ind w:firstLine="0"/>
      </w:pPr>
      <w:r>
        <w:rPr>
          <w:rFonts w:hint="eastAsia"/>
          <w:b/>
          <w:bCs/>
        </w:rPr>
        <w:t>机构审查声明</w:t>
      </w:r>
      <w:r>
        <w:rPr>
          <w:rFonts w:hint="eastAsia"/>
        </w:rPr>
        <w:t>：本稿范围为公开数据的二次分析，未增加动物干预或采集。公开数据二次利用的伦理适用或豁免依据，以及原始采集研究的审批信息，待作者核实；不补造审批编号。</w:t>
      </w:r>
    </w:p>
    <w:p w14:paraId="5462524F">
      <w:pPr>
        <w:pStyle w:val="19"/>
        <w:ind w:firstLine="0"/>
      </w:pPr>
      <w:r>
        <w:rPr>
          <w:rFonts w:hint="eastAsia"/>
          <w:b/>
          <w:bCs/>
        </w:rPr>
        <w:t>知情同意声明</w:t>
      </w:r>
      <w:r>
        <w:rPr>
          <w:rFonts w:hint="eastAsia"/>
        </w:rPr>
        <w:t>：本研究不招募人类受试者。该项是否适用及公开图像使用条件待作者结合数据许可确认。</w:t>
      </w:r>
    </w:p>
    <w:p>
      <w:pPr>
        <w:pStyle w:val="19"/>
        <w:ind w:firstLine="0"/>
      </w:pPr>
      <w:r>
        <w:t>数据可用性声明：本研究复用的Holstein和SideViewCows2026原始数据DOI分别为10.34894/7M108F和10.5281/zenodo.21605650。数据许可分别为CC0和CC BY 4.0，使用者须遵守原发布者条款。本地2026年9月17日归档记录对应GitHub仓库https://github.com/ziluo8080/cattle-reid及Release reproducibility-v1.2.0，记录包含原始数据压缩包、45份冻结权重及45份Holstein历史评分矩阵；代码中另提供预处理、训练、冻结推理和结果重放入口。仓库访问由所有者控制，投稿前须核实匿名访问权限；不将上传完成等同于公开可访问，未取得独立归档DOI。已有归档记录包含全部45份历史矩阵的重放和一个SupCon-out模型的冻结推理核对，但不等于完成45模型的重新训练或全量重新推理。</w:t>
      </w:r>
    </w:p>
    <w:p w14:paraId="35D49D03">
      <w:pPr>
        <w:pStyle w:val="19"/>
        <w:ind w:firstLine="0"/>
      </w:pPr>
      <w:r>
        <w:rPr>
          <w:rFonts w:hint="eastAsia"/>
          <w:b/>
          <w:bCs/>
        </w:rPr>
        <w:t>致谢</w:t>
      </w:r>
      <w:r>
        <w:rPr>
          <w:rFonts w:hint="eastAsia"/>
        </w:rPr>
        <w:t>：待作者确认是否存在应致谢的非作者贡献。</w:t>
      </w:r>
    </w:p>
    <w:p>
      <w:pPr>
        <w:pStyle w:val="19"/>
        <w:ind w:firstLine="0"/>
        <w:rPr>
          <w:rFonts w:hint="eastAsia" w:eastAsia="宋体"/>
          <w:lang w:eastAsia="zh-CN"/>
        </w:rPr>
      </w:pPr>
      <w:r>
        <w:t>利益冲突：待全体作者确认并据实填写；本稿不代替作者作出无利益冲突声明。</w:t>
      </w:r>
    </w:p>
    <w:p w14:paraId="574AA1FC">
      <w:pPr>
        <w:pStyle w:val="19"/>
        <w:ind w:firstLine="0"/>
      </w:pPr>
      <w:r>
        <w:rPr>
          <w:rFonts w:hint="eastAsia"/>
          <w:b/>
          <w:bCs/>
        </w:rPr>
        <w:t>生成式人工智能使用说明</w:t>
      </w:r>
      <w:r>
        <w:rPr>
          <w:rFonts w:hint="eastAsia"/>
        </w:rPr>
        <w:t>：使用人工智能辅助文字组织、文献定位及</w:t>
      </w:r>
      <w:r>
        <w:t xml:space="preserve"> Python </w:t>
      </w:r>
      <w:r>
        <w:rPr>
          <w:rFonts w:hint="eastAsia"/>
        </w:rPr>
        <w:t>绘图代码编写。图件由归档数据与明确的流程定义生成，不使用生成式图像代替实验观察。事实核验、科学解释和最终内容责任由作者承担；具体工具与使用范围待投稿前确认。</w:t>
      </w:r>
    </w:p>
    <w:bookmarkEnd w:id="19"/>
    <w:p w14:paraId="1D5DCDCB">
      <w:pPr>
        <w:pStyle w:val="4"/>
        <w:ind w:firstLine="0"/>
      </w:pPr>
      <w:bookmarkStart w:id="20" w:name="缩略语"/>
      <w:r>
        <w:rPr>
          <w:rFonts w:hint="eastAsia"/>
        </w:rPr>
        <w:t>缩略语</w:t>
      </w:r>
    </w:p>
    <w:p w14:paraId="31628CA0">
      <w:pPr>
        <w:pStyle w:val="164"/>
        <w:ind w:firstLine="0"/>
      </w:pPr>
      <w:r>
        <w:rPr>
          <w:rFonts w:hint="eastAsia"/>
        </w:rPr>
        <w:t>RGB，红绿蓝图像；K，每身份支持图数量；SupCon-out，受限 SupCon-out 实例（归档名称 B-selected）；GAP，本实验中的类别平均相似度分类目标；SupCon-in，正例概率在对数内聚合的监督对比目标。Rank-1/Rank-5 为身份排序指标，微平均和身份宏平均是不同汇总口径。</w:t>
      </w:r>
      <w:r>
        <w:t xml:space="preserve"/>
      </w:r>
      <w:r>
        <w:rPr>
          <w:rFonts w:hint="eastAsia"/>
        </w:rPr>
        <w:t/>
      </w:r>
      <w:r>
        <w:t xml:space="preserve"/>
      </w:r>
      <w:r>
        <w:rPr>
          <w:rFonts w:hint="eastAsia"/>
        </w:rPr>
        <w:t/>
      </w:r>
      <w:r>
        <w:t xml:space="preserve"/>
      </w:r>
      <w:r>
        <w:rPr>
          <w:rFonts w:hint="eastAsia"/>
        </w:rPr>
        <w:t/>
      </w:r>
    </w:p>
    <w:bookmarkEnd w:id="20"/>
    <w:p w14:paraId="289702FA">
      <w:pPr>
        <w:pStyle w:val="4"/>
        <w:ind w:firstLine="0"/>
      </w:pPr>
      <w:bookmarkStart w:id="21" w:name="参考文献"/>
      <w:r>
        <w:rPr>
          <w:rFonts w:hint="eastAsia"/>
        </w:rPr>
        <w:t>参考文献</w:t>
      </w:r>
    </w:p>
    <w:p w14:paraId="30ECF3C0">
      <w:pPr>
        <w:pStyle w:val="164"/>
        <w:keepLines/>
        <w:spacing w:line="252" w:lineRule="auto"/>
        <w:ind w:left="360" w:hanging="360"/>
      </w:pPr>
      <w:r>
        <w:rPr>
          <w:sz w:val="18"/>
        </w:rPr>
        <w:t xml:space="preserve">1. Bhole, A.; Udmale, S.S.; Falzon, O.; Azzopardi, G. CORF3D contour maps with application to Holstein cattle recognition from RGB and thermal images. </w:t>
      </w:r>
      <w:r>
        <w:rPr>
          <w:i/>
          <w:iCs/>
          <w:sz w:val="18"/>
        </w:rPr>
        <w:t>Expert Syst. Appl.</w:t>
      </w:r>
      <w:r>
        <w:rPr>
          <w:sz w:val="18"/>
        </w:rPr>
        <w:t xml:space="preserve"> </w:t>
      </w:r>
      <w:r>
        <w:rPr>
          <w:b/>
          <w:bCs/>
          <w:sz w:val="18"/>
        </w:rPr>
        <w:t>2022</w:t>
      </w:r>
      <w:r>
        <w:rPr>
          <w:sz w:val="18"/>
        </w:rPr>
        <w:t xml:space="preserve">, </w:t>
      </w:r>
      <w:r>
        <w:rPr>
          <w:i/>
          <w:iCs/>
          <w:sz w:val="18"/>
        </w:rPr>
        <w:t>192</w:t>
      </w:r>
      <w:r>
        <w:rPr>
          <w:sz w:val="18"/>
        </w:rPr>
        <w:t>, 116354. https://doi.org/10.1016/j.eswa.2021.116354</w:t>
      </w:r>
    </w:p>
    <w:p w14:paraId="3B19A599">
      <w:pPr>
        <w:pStyle w:val="19"/>
        <w:keepLines/>
        <w:spacing w:line="252" w:lineRule="auto"/>
        <w:ind w:left="360" w:hanging="360"/>
      </w:pPr>
      <w:r>
        <w:rPr>
          <w:sz w:val="18"/>
        </w:rPr>
        <w:t xml:space="preserve">2. Andrew, W.; Gao, J.; Mullan, S.; Campbell, N.; Dowsey, A.W.; Burghardt, T. Visual identification of individual Holstein-Friesian cattle via deep metric learning. </w:t>
      </w:r>
      <w:r>
        <w:rPr>
          <w:i/>
          <w:iCs/>
          <w:sz w:val="18"/>
        </w:rPr>
        <w:t>Comput. Electron. Agric.</w:t>
      </w:r>
      <w:r>
        <w:rPr>
          <w:sz w:val="18"/>
        </w:rPr>
        <w:t xml:space="preserve"> </w:t>
      </w:r>
      <w:r>
        <w:rPr>
          <w:b/>
          <w:bCs/>
          <w:sz w:val="18"/>
        </w:rPr>
        <w:t>2021</w:t>
      </w:r>
      <w:r>
        <w:rPr>
          <w:sz w:val="18"/>
        </w:rPr>
        <w:t xml:space="preserve">, </w:t>
      </w:r>
      <w:r>
        <w:rPr>
          <w:i/>
          <w:iCs/>
          <w:sz w:val="18"/>
        </w:rPr>
        <w:t>185</w:t>
      </w:r>
      <w:r>
        <w:rPr>
          <w:sz w:val="18"/>
        </w:rPr>
        <w:t>, 106133. https://doi.org/10.1016/j.compag.2021.106133</w:t>
      </w:r>
    </w:p>
    <w:p w14:paraId="22B72C3B">
      <w:pPr>
        <w:pStyle w:val="19"/>
        <w:keepLines/>
        <w:spacing w:line="252" w:lineRule="auto"/>
        <w:ind w:left="360" w:hanging="360"/>
      </w:pPr>
      <w:r>
        <w:rPr>
          <w:sz w:val="18"/>
        </w:rPr>
        <w:t xml:space="preserve">3. Vinyals, O.; Blundell, C.; Lillicrap, T.; Kavukcuoglu, K.; Wierstra, D. Matching Networks for One Shot Learning. In </w:t>
      </w:r>
      <w:r>
        <w:rPr>
          <w:i/>
          <w:iCs/>
          <w:sz w:val="18"/>
        </w:rPr>
        <w:t>Advances in Neural Information Processing Systems</w:t>
      </w:r>
      <w:r>
        <w:rPr>
          <w:sz w:val="18"/>
        </w:rPr>
        <w:t xml:space="preserve">; 2016, </w:t>
      </w:r>
      <w:r>
        <w:rPr>
          <w:i/>
          <w:iCs/>
          <w:sz w:val="18"/>
        </w:rPr>
        <w:t>29</w:t>
      </w:r>
      <w:r>
        <w:rPr>
          <w:sz w:val="18"/>
        </w:rPr>
        <w:t>. Available online: https://papers.nips.cc/paper_files/paper/2016/hash/90e1357833654983612fb05e3ec9148c-Abstract.html (accessed on 16 September 2026).</w:t>
      </w:r>
    </w:p>
    <w:p w14:paraId="4281DBDB">
      <w:pPr>
        <w:pStyle w:val="19"/>
        <w:keepLines/>
        <w:spacing w:line="252" w:lineRule="auto"/>
        <w:ind w:left="360" w:hanging="360"/>
      </w:pPr>
      <w:r>
        <w:rPr>
          <w:sz w:val="18"/>
        </w:rPr>
        <w:t xml:space="preserve">4. Snell, J.; Swersky, K.; Zemel, R. Prototypical Networks for Few-shot Learning. In </w:t>
      </w:r>
      <w:r>
        <w:rPr>
          <w:i/>
          <w:iCs/>
          <w:sz w:val="18"/>
        </w:rPr>
        <w:t>Advances in Neural Information Processing Systems</w:t>
      </w:r>
      <w:r>
        <w:rPr>
          <w:sz w:val="18"/>
        </w:rPr>
        <w:t xml:space="preserve">; 2017, </w:t>
      </w:r>
      <w:r>
        <w:rPr>
          <w:i/>
          <w:iCs/>
          <w:sz w:val="18"/>
        </w:rPr>
        <w:t>30</w:t>
      </w:r>
      <w:r>
        <w:rPr>
          <w:sz w:val="18"/>
        </w:rPr>
        <w:t>. Available online: https://papers.nips.cc/paper_files/paper/2017/hash/cb8da6767461f2812ae4290eac7cbc42-Abstract.html (accessed on 16 September 2026).</w:t>
      </w:r>
    </w:p>
    <w:p w14:paraId="270D6810">
      <w:pPr>
        <w:pStyle w:val="19"/>
        <w:keepLines/>
        <w:spacing w:line="252" w:lineRule="auto"/>
        <w:ind w:left="360" w:hanging="360"/>
      </w:pPr>
      <w:r>
        <w:rPr>
          <w:sz w:val="18"/>
        </w:rPr>
        <w:t xml:space="preserve">5. Khosla, P.; Teterwak, P.; Wang, C.; Sarna, A.; Tian, Y.; Isola, P.; Maschinot, A.; Liu, C.; Krishnan, D. Supervised Contrastive Learning. In </w:t>
      </w:r>
      <w:r>
        <w:rPr>
          <w:i/>
          <w:iCs/>
          <w:sz w:val="18"/>
        </w:rPr>
        <w:t>Advances in Neural Information Processing Systems</w:t>
      </w:r>
      <w:r>
        <w:rPr>
          <w:sz w:val="18"/>
        </w:rPr>
        <w:t xml:space="preserve">; 2020, </w:t>
      </w:r>
      <w:r>
        <w:rPr>
          <w:i/>
          <w:iCs/>
          <w:sz w:val="18"/>
        </w:rPr>
        <w:t>33</w:t>
      </w:r>
      <w:r>
        <w:rPr>
          <w:sz w:val="18"/>
        </w:rPr>
        <w:t>, 18661–18673. Available online: https://papers.nips.cc/paper/2020/hash/d89a66c7c80a29b1bdbab0f2a1a94af8-Abstract.html (accessed on 16 September 2026).</w:t>
      </w:r>
    </w:p>
    <w:p w14:paraId="30A58A0E">
      <w:pPr>
        <w:pStyle w:val="19"/>
        <w:keepLines/>
        <w:spacing w:line="252" w:lineRule="auto"/>
        <w:ind w:left="360" w:hanging="360"/>
      </w:pPr>
      <w:r>
        <w:rPr>
          <w:sz w:val="18"/>
        </w:rPr>
        <w:t xml:space="preserve">6. Musgrave, K.; Belongie, S.; Lim, S.N. A Metric Learning Reality Check. In </w:t>
      </w:r>
      <w:r>
        <w:rPr>
          <w:i/>
          <w:iCs/>
          <w:sz w:val="18"/>
        </w:rPr>
        <w:t>Lecture Notes in Computer Science</w:t>
      </w:r>
      <w:r>
        <w:rPr>
          <w:sz w:val="18"/>
        </w:rPr>
        <w:t>; 2020, 681–699. https://doi.org/10.1007/978-3-030-58595-2_41</w:t>
      </w:r>
    </w:p>
    <w:p w14:paraId="154B07AC">
      <w:pPr>
        <w:pStyle w:val="19"/>
        <w:keepLines/>
        <w:spacing w:line="252" w:lineRule="auto"/>
        <w:ind w:left="360" w:hanging="360"/>
      </w:pPr>
      <w:r>
        <w:rPr>
          <w:sz w:val="18"/>
        </w:rPr>
        <w:t xml:space="preserve">7. Beery, S.; Van Horn, G.; Perona, P. Recognition in Terra Incognita. In </w:t>
      </w:r>
      <w:r>
        <w:rPr>
          <w:i/>
          <w:iCs/>
          <w:sz w:val="18"/>
        </w:rPr>
        <w:t>Proceedings of the European Conference on Computer Vision</w:t>
      </w:r>
      <w:r>
        <w:rPr>
          <w:sz w:val="18"/>
        </w:rPr>
        <w:t>; 2018, 456–473. Available online: https://www.ecva.net/papers/eccv_2018/papers_ECCV/html/Beery_Recognition_in_Terra_ECCV_2018_paper.php (accessed on 16 September 2026).</w:t>
      </w:r>
    </w:p>
    <w:p w14:paraId="7ADB5F9C">
      <w:pPr>
        <w:pStyle w:val="19"/>
        <w:keepLines/>
        <w:spacing w:line="252" w:lineRule="auto"/>
        <w:ind w:left="360" w:hanging="360"/>
      </w:pPr>
      <w:r>
        <w:rPr>
          <w:sz w:val="18"/>
        </w:rPr>
        <w:t xml:space="preserve">8. Möller, S. SideViewCows2026 – Dairy Cow Re-Identification Dataset. </w:t>
      </w:r>
      <w:r>
        <w:rPr>
          <w:rFonts w:hint="eastAsia"/>
          <w:sz w:val="18"/>
        </w:rPr>
        <w:t>[数据集].</w:t>
      </w:r>
      <w:r>
        <w:rPr>
          <w:sz w:val="18"/>
        </w:rPr>
        <w:t xml:space="preserve"> Zenodo, 2026. https://doi.org/10.5281/zenodo.21605650</w:t>
      </w:r>
    </w:p>
    <w:p w14:paraId="6C3615C3">
      <w:pPr>
        <w:pStyle w:val="19"/>
        <w:keepLines/>
        <w:spacing w:line="252" w:lineRule="auto"/>
        <w:ind w:left="360" w:hanging="360"/>
      </w:pPr>
      <w:r>
        <w:rPr>
          <w:sz w:val="18"/>
        </w:rPr>
        <w:t xml:space="preserve">9. Bhole, A.; Udmale, S.S.; Falzon, O.; Azzopardi, G. Recognition of Holstein Cattle with Thermal and RGB images. </w:t>
      </w:r>
      <w:r>
        <w:rPr>
          <w:rFonts w:hint="eastAsia"/>
          <w:sz w:val="18"/>
        </w:rPr>
        <w:t>[数据集].</w:t>
      </w:r>
      <w:r>
        <w:rPr>
          <w:sz w:val="18"/>
        </w:rPr>
        <w:t xml:space="preserve"> DataverseNL, 2021. https://doi.org/10.34894/7m108f</w:t>
      </w:r>
    </w:p>
    <w:p w14:paraId="68003AD7">
      <w:pPr>
        <w:pStyle w:val="19"/>
        <w:keepLines/>
        <w:spacing w:line="252" w:lineRule="auto"/>
        <w:ind w:left="360" w:hanging="360"/>
      </w:pPr>
      <w:r>
        <w:rPr>
          <w:sz w:val="18"/>
        </w:rPr>
        <w:t xml:space="preserve">10. Čermák, V.; Picek, L.; Adam, L.; Papafitsoros, K. WildlifeDatasets: An Open-Source Toolkit for Animal Re-Identification. In </w:t>
      </w:r>
      <w:r>
        <w:rPr>
          <w:i/>
          <w:iCs/>
          <w:sz w:val="18"/>
        </w:rPr>
        <w:t>Proceedings of the IEEE/CVF Winter Conference on Applications of Computer Vision</w:t>
      </w:r>
      <w:r>
        <w:rPr>
          <w:sz w:val="18"/>
        </w:rPr>
        <w:t>; 2024, 5953–5963. Available online: https://openaccess.thecvf.com/content/WACV2024/html/Cermak_WildlifeDatasets_An_Open-Source_Toolkit_for_Animal_Re-Identification_WACV_2024_paper.html (accessed on 16 September 2026).</w:t>
      </w:r>
    </w:p>
    <w:p w14:paraId="4507923C">
      <w:pPr>
        <w:pStyle w:val="19"/>
        <w:keepLines/>
        <w:spacing w:line="252" w:lineRule="auto"/>
        <w:ind w:left="360" w:hanging="360"/>
      </w:pPr>
      <w:r>
        <w:rPr>
          <w:sz w:val="18"/>
        </w:rPr>
        <w:t xml:space="preserve">11. Perneel, M.; Adriaens, I.; Verwaeren, J.; Aernouts, B. Dynamic Multi-Behaviour, Orientation-Invariant Re-Identification of Holstein-Friesian Cattle. </w:t>
      </w:r>
      <w:r>
        <w:rPr>
          <w:i/>
          <w:iCs/>
          <w:sz w:val="18"/>
        </w:rPr>
        <w:t>Sensors</w:t>
      </w:r>
      <w:r>
        <w:rPr>
          <w:sz w:val="18"/>
        </w:rPr>
        <w:t xml:space="preserve"> </w:t>
      </w:r>
      <w:r>
        <w:rPr>
          <w:b/>
          <w:bCs/>
          <w:sz w:val="18"/>
        </w:rPr>
        <w:t>2025</w:t>
      </w:r>
      <w:r>
        <w:rPr>
          <w:sz w:val="18"/>
        </w:rPr>
        <w:t xml:space="preserve">, </w:t>
      </w:r>
      <w:r>
        <w:rPr>
          <w:i/>
          <w:iCs/>
          <w:sz w:val="18"/>
        </w:rPr>
        <w:t>25</w:t>
      </w:r>
      <w:r>
        <w:rPr>
          <w:sz w:val="18"/>
        </w:rPr>
        <w:t>, 2971. https://doi.org/10.3390/s25102971</w:t>
      </w:r>
    </w:p>
    <w:p w14:paraId="7D368DAF">
      <w:pPr>
        <w:pStyle w:val="19"/>
        <w:keepLines/>
        <w:spacing w:line="252" w:lineRule="auto"/>
        <w:ind w:left="360" w:hanging="360"/>
      </w:pPr>
      <w:r>
        <w:rPr>
          <w:sz w:val="18"/>
        </w:rPr>
        <w:t xml:space="preserve">12. Hooker, J.M.; de Medeiros, B.B.; Saha, C.; Abdulrahman, T.; Alves, A.A.C. Multitask contrastive learning for individual dairy cow recognition across different behavior classes based on small image sets. </w:t>
      </w:r>
      <w:r>
        <w:rPr>
          <w:i/>
          <w:iCs/>
          <w:sz w:val="18"/>
        </w:rPr>
        <w:t>J. Dairy Sci.</w:t>
      </w:r>
      <w:r>
        <w:rPr>
          <w:sz w:val="18"/>
        </w:rPr>
        <w:t xml:space="preserve"> </w:t>
      </w:r>
      <w:r>
        <w:rPr>
          <w:b/>
          <w:bCs/>
          <w:sz w:val="18"/>
        </w:rPr>
        <w:t>2026</w:t>
      </w:r>
      <w:r>
        <w:rPr>
          <w:sz w:val="18"/>
        </w:rPr>
        <w:t xml:space="preserve">, </w:t>
      </w:r>
      <w:r>
        <w:rPr>
          <w:i/>
          <w:iCs/>
          <w:sz w:val="18"/>
        </w:rPr>
        <w:t>109</w:t>
      </w:r>
      <w:r>
        <w:rPr>
          <w:sz w:val="18"/>
        </w:rPr>
        <w:t>, 1800–1815. https://doi.org/10.3168/jds.2025-26731</w:t>
      </w:r>
    </w:p>
    <w:p w14:paraId="407795BB">
      <w:pPr>
        <w:pStyle w:val="19"/>
        <w:keepLines/>
        <w:spacing w:line="252" w:lineRule="auto"/>
        <w:ind w:left="360" w:hanging="360"/>
      </w:pPr>
      <w:r>
        <w:rPr>
          <w:sz w:val="18"/>
        </w:rPr>
        <w:t xml:space="preserve">13. Prabhune, O.; Kim, Y. OpenCowID: Zero-Shot Visual Identification of Dairy Cows. In </w:t>
      </w:r>
      <w:r>
        <w:rPr>
          <w:i/>
          <w:iCs/>
          <w:sz w:val="18"/>
        </w:rPr>
        <w:t>2026 IEEE/CVF Winter Conference on Applications of Computer Vision (WACV)</w:t>
      </w:r>
      <w:r>
        <w:rPr>
          <w:sz w:val="18"/>
        </w:rPr>
        <w:t>; 2026, 1491–1500. https://doi.org/10.1109/wacv61042.2026.00151</w:t>
      </w:r>
    </w:p>
    <w:p w14:paraId="135BDDC8">
      <w:pPr>
        <w:pStyle w:val="19"/>
        <w:keepLines/>
        <w:spacing w:line="252" w:lineRule="auto"/>
        <w:ind w:left="360" w:hanging="360"/>
      </w:pPr>
      <w:r>
        <w:rPr>
          <w:sz w:val="18"/>
        </w:rPr>
        <w:t xml:space="preserve">14. Zhao, J.-M.; Lian, Q.-S.; Xiong, N.N. Multi-Center Agent Loss for Visual Identification of Chinese Simmental in the Wild. </w:t>
      </w:r>
      <w:r>
        <w:rPr>
          <w:i/>
          <w:iCs/>
          <w:sz w:val="18"/>
        </w:rPr>
        <w:t>Animals</w:t>
      </w:r>
      <w:r>
        <w:rPr>
          <w:sz w:val="18"/>
        </w:rPr>
        <w:t xml:space="preserve"> </w:t>
      </w:r>
      <w:r>
        <w:rPr>
          <w:b/>
          <w:bCs/>
          <w:sz w:val="18"/>
        </w:rPr>
        <w:t>2022</w:t>
      </w:r>
      <w:r>
        <w:rPr>
          <w:sz w:val="18"/>
        </w:rPr>
        <w:t xml:space="preserve">, </w:t>
      </w:r>
      <w:r>
        <w:rPr>
          <w:i/>
          <w:iCs/>
          <w:sz w:val="18"/>
        </w:rPr>
        <w:t>12</w:t>
      </w:r>
      <w:r>
        <w:rPr>
          <w:sz w:val="18"/>
        </w:rPr>
        <w:t>, 459. https://doi.org/10.3390/ani12040459</w:t>
      </w:r>
    </w:p>
    <w:p w14:paraId="4FB9F69F">
      <w:pPr>
        <w:pStyle w:val="19"/>
        <w:keepLines/>
        <w:spacing w:line="252" w:lineRule="auto"/>
        <w:ind w:left="360" w:hanging="360"/>
      </w:pPr>
      <w:r>
        <w:rPr>
          <w:sz w:val="18"/>
        </w:rPr>
        <w:t xml:space="preserve">15. Li, G.; Erickson, G.E.; Xiong, Y. Individual Beef Cattle Identification Using Muzzle Images and Deep Learning Techniques. </w:t>
      </w:r>
      <w:r>
        <w:rPr>
          <w:i/>
          <w:iCs/>
          <w:sz w:val="18"/>
        </w:rPr>
        <w:t>Animals</w:t>
      </w:r>
      <w:r>
        <w:rPr>
          <w:sz w:val="18"/>
        </w:rPr>
        <w:t xml:space="preserve"> </w:t>
      </w:r>
      <w:r>
        <w:rPr>
          <w:b/>
          <w:bCs/>
          <w:sz w:val="18"/>
        </w:rPr>
        <w:t>2022</w:t>
      </w:r>
      <w:r>
        <w:rPr>
          <w:sz w:val="18"/>
        </w:rPr>
        <w:t xml:space="preserve">, </w:t>
      </w:r>
      <w:r>
        <w:rPr>
          <w:i/>
          <w:iCs/>
          <w:sz w:val="18"/>
        </w:rPr>
        <w:t>12</w:t>
      </w:r>
      <w:r>
        <w:rPr>
          <w:sz w:val="18"/>
        </w:rPr>
        <w:t>, 1453. https://doi.org/10.3390/ani12111453</w:t>
      </w:r>
    </w:p>
    <w:p w14:paraId="2A6F45DC">
      <w:pPr>
        <w:pStyle w:val="19"/>
        <w:keepLines/>
        <w:spacing w:line="252" w:lineRule="auto"/>
        <w:ind w:left="360" w:hanging="360"/>
      </w:pPr>
      <w:r>
        <w:rPr>
          <w:sz w:val="18"/>
        </w:rPr>
        <w:t xml:space="preserve">16. Meng, Y.; Yoon, S.; Han, S.; Fuentes, A.; Park, J.; Jeong, Y.; Park, D.S. Improving Known–Unknown Cattle’s Face Recognition for Smart Livestock Farm Management. </w:t>
      </w:r>
      <w:r>
        <w:rPr>
          <w:i/>
          <w:iCs/>
          <w:sz w:val="18"/>
        </w:rPr>
        <w:t>Animals</w:t>
      </w:r>
      <w:r>
        <w:rPr>
          <w:sz w:val="18"/>
        </w:rPr>
        <w:t xml:space="preserve"> </w:t>
      </w:r>
      <w:r>
        <w:rPr>
          <w:b/>
          <w:bCs/>
          <w:sz w:val="18"/>
        </w:rPr>
        <w:t>2023</w:t>
      </w:r>
      <w:r>
        <w:rPr>
          <w:sz w:val="18"/>
        </w:rPr>
        <w:t xml:space="preserve">, </w:t>
      </w:r>
      <w:r>
        <w:rPr>
          <w:i/>
          <w:iCs/>
          <w:sz w:val="18"/>
        </w:rPr>
        <w:t>13</w:t>
      </w:r>
      <w:r>
        <w:rPr>
          <w:sz w:val="18"/>
        </w:rPr>
        <w:t>, 3588. https://doi.org/10.3390/ani13223588</w:t>
      </w:r>
    </w:p>
    <w:p w14:paraId="12E94546">
      <w:pPr>
        <w:pStyle w:val="19"/>
        <w:keepLines/>
        <w:spacing w:line="252" w:lineRule="auto"/>
        <w:ind w:left="360" w:hanging="360"/>
      </w:pPr>
      <w:r>
        <w:rPr>
          <w:sz w:val="18"/>
        </w:rPr>
        <w:t xml:space="preserve">17. Qi, H.; Song, T.; Zhao, Y. Dynamic_Bottleneck Module Fusing Dynamic Convolution and Sparse Spatial Attention for Individual Cow Identification. </w:t>
      </w:r>
      <w:r>
        <w:rPr>
          <w:i/>
          <w:iCs/>
          <w:sz w:val="18"/>
        </w:rPr>
        <w:t>Animals</w:t>
      </w:r>
      <w:r>
        <w:rPr>
          <w:sz w:val="18"/>
        </w:rPr>
        <w:t xml:space="preserve"> </w:t>
      </w:r>
      <w:r>
        <w:rPr>
          <w:b/>
          <w:bCs/>
          <w:sz w:val="18"/>
        </w:rPr>
        <w:t>2025</w:t>
      </w:r>
      <w:r>
        <w:rPr>
          <w:sz w:val="18"/>
        </w:rPr>
        <w:t xml:space="preserve">, </w:t>
      </w:r>
      <w:r>
        <w:rPr>
          <w:i/>
          <w:iCs/>
          <w:sz w:val="18"/>
        </w:rPr>
        <w:t>15</w:t>
      </w:r>
      <w:r>
        <w:rPr>
          <w:sz w:val="18"/>
        </w:rPr>
        <w:t>, 2519. https://doi.org/10.3390/ani15172519</w:t>
      </w:r>
    </w:p>
    <w:p w14:paraId="2E77931C">
      <w:pPr>
        <w:pStyle w:val="19"/>
        <w:keepLines/>
        <w:spacing w:line="252" w:lineRule="auto"/>
        <w:ind w:left="360" w:hanging="360"/>
      </w:pPr>
      <w:r>
        <w:rPr>
          <w:sz w:val="18"/>
        </w:rPr>
        <w:t xml:space="preserve">18. Liu, J.; Fuentes, A.; Han, S.; Yoon, S.; Jeong, Y.; Park, D.S. Learning Compact Identity Representations for Weakly Textured Hanwoo Cattle Re-Identification. </w:t>
      </w:r>
      <w:r>
        <w:rPr>
          <w:i/>
          <w:iCs/>
          <w:sz w:val="18"/>
        </w:rPr>
        <w:t>Animals</w:t>
      </w:r>
      <w:r>
        <w:rPr>
          <w:sz w:val="18"/>
        </w:rPr>
        <w:t xml:space="preserve"> </w:t>
      </w:r>
      <w:r>
        <w:rPr>
          <w:b/>
          <w:bCs/>
          <w:sz w:val="18"/>
        </w:rPr>
        <w:t>2026</w:t>
      </w:r>
      <w:r>
        <w:rPr>
          <w:sz w:val="18"/>
        </w:rPr>
        <w:t xml:space="preserve">, </w:t>
      </w:r>
      <w:r>
        <w:rPr>
          <w:i/>
          <w:iCs/>
          <w:sz w:val="18"/>
        </w:rPr>
        <w:t>16</w:t>
      </w:r>
      <w:r>
        <w:rPr>
          <w:sz w:val="18"/>
        </w:rPr>
        <w:t>, 2320. https://doi.org/10.3390/ani16152320</w:t>
      </w:r>
    </w:p>
    <w:p w14:paraId="3113E629">
      <w:pPr>
        <w:pStyle w:val="19"/>
        <w:keepLines/>
        <w:spacing w:line="252" w:lineRule="auto"/>
        <w:ind w:left="360" w:hanging="360"/>
      </w:pPr>
      <w:r>
        <w:rPr>
          <w:sz w:val="18"/>
        </w:rPr>
        <w:t xml:space="preserve">19. Zhao, A.; Wu, H.; Fan, D.; Li, K. Individual Cow Recognition Based on Ultra-Wideband and Computer Vision. </w:t>
      </w:r>
      <w:r>
        <w:rPr>
          <w:i/>
          <w:iCs/>
          <w:sz w:val="18"/>
        </w:rPr>
        <w:t>Animals</w:t>
      </w:r>
      <w:r>
        <w:rPr>
          <w:sz w:val="18"/>
        </w:rPr>
        <w:t xml:space="preserve"> </w:t>
      </w:r>
      <w:r>
        <w:rPr>
          <w:b/>
          <w:bCs/>
          <w:sz w:val="18"/>
        </w:rPr>
        <w:t>2025</w:t>
      </w:r>
      <w:r>
        <w:rPr>
          <w:sz w:val="18"/>
        </w:rPr>
        <w:t xml:space="preserve">, </w:t>
      </w:r>
      <w:r>
        <w:rPr>
          <w:i/>
          <w:iCs/>
          <w:sz w:val="18"/>
        </w:rPr>
        <w:t>15</w:t>
      </w:r>
      <w:r>
        <w:rPr>
          <w:sz w:val="18"/>
        </w:rPr>
        <w:t>, 456. https://doi.org/10.3390/ani15030456</w:t>
      </w:r>
    </w:p>
    <w:p w14:paraId="5E5AFD5A">
      <w:pPr>
        <w:pStyle w:val="19"/>
        <w:keepLines/>
        <w:spacing w:line="252" w:lineRule="auto"/>
        <w:ind w:left="360" w:hanging="360"/>
      </w:pPr>
      <w:r>
        <w:rPr>
          <w:sz w:val="18"/>
        </w:rPr>
        <w:t xml:space="preserve">20. Sohn, K. Improved Deep Metric Learning with Multi-class N-pair Loss Objective. In </w:t>
      </w:r>
      <w:r>
        <w:rPr>
          <w:i/>
          <w:iCs/>
          <w:sz w:val="18"/>
        </w:rPr>
        <w:t>Advances in Neural Information Processing Systems</w:t>
      </w:r>
      <w:r>
        <w:rPr>
          <w:sz w:val="18"/>
        </w:rPr>
        <w:t xml:space="preserve">; 2016, </w:t>
      </w:r>
      <w:r>
        <w:rPr>
          <w:i/>
          <w:iCs/>
          <w:sz w:val="18"/>
        </w:rPr>
        <w:t>29</w:t>
      </w:r>
      <w:r>
        <w:rPr>
          <w:sz w:val="18"/>
        </w:rPr>
        <w:t>. Available online: https://papers.nips.cc/paper_files/paper/2016/hash/6b180037abbebea991d8b1232f8a8ca9-Abstract.html (accessed on 16 September 2026).</w:t>
      </w:r>
    </w:p>
    <w:p w14:paraId="2162481E">
      <w:pPr>
        <w:pStyle w:val="19"/>
        <w:keepLines/>
        <w:spacing w:line="252" w:lineRule="auto"/>
        <w:ind w:left="360" w:hanging="360"/>
      </w:pPr>
      <w:r>
        <w:rPr>
          <w:sz w:val="18"/>
        </w:rPr>
        <w:t xml:space="preserve">21. Chen, T.; Kornblith, S.; Norouzi, M.; Hinton, G. A Simple Framework for Contrastive Learning of Visual Representations. In </w:t>
      </w:r>
      <w:r>
        <w:rPr>
          <w:i/>
          <w:iCs/>
          <w:sz w:val="18"/>
        </w:rPr>
        <w:t>Proceedings of the 37th International Conference on Machine Learning</w:t>
      </w:r>
      <w:r>
        <w:rPr>
          <w:sz w:val="18"/>
        </w:rPr>
        <w:t xml:space="preserve">; 2020, </w:t>
      </w:r>
      <w:r>
        <w:rPr>
          <w:i/>
          <w:iCs/>
          <w:sz w:val="18"/>
        </w:rPr>
        <w:t>119</w:t>
      </w:r>
      <w:r>
        <w:rPr>
          <w:sz w:val="18"/>
        </w:rPr>
        <w:t>, 1597–1607. Available online: https://proceedings.mlr.press/v119/chen20j.html (accessed on 16 September 2026).</w:t>
      </w:r>
    </w:p>
    <w:p w14:paraId="3A4F0CB3">
      <w:pPr>
        <w:pStyle w:val="19"/>
        <w:keepLines/>
        <w:spacing w:line="252" w:lineRule="auto"/>
        <w:ind w:left="360" w:hanging="360"/>
      </w:pPr>
      <w:r>
        <w:rPr>
          <w:sz w:val="18"/>
        </w:rPr>
        <w:t xml:space="preserve">22. Schroff, F.; Kalenichenko, D.; Philbin, J. FaceNet: A unified embedding for face recognition and clustering. In </w:t>
      </w:r>
      <w:r>
        <w:rPr>
          <w:i/>
          <w:iCs/>
          <w:sz w:val="18"/>
        </w:rPr>
        <w:t>2015 IEEE Conference on Computer Vision and Pattern Recognition (CVPR)</w:t>
      </w:r>
      <w:r>
        <w:rPr>
          <w:sz w:val="18"/>
        </w:rPr>
        <w:t>; 2015, 815–823. https://doi.org/10.1109/CVPR.2015.7298682</w:t>
      </w:r>
    </w:p>
    <w:p w14:paraId="4E48158B">
      <w:pPr>
        <w:pStyle w:val="19"/>
        <w:keepLines/>
        <w:spacing w:line="252" w:lineRule="auto"/>
        <w:ind w:left="360" w:hanging="360"/>
      </w:pPr>
      <w:r>
        <w:rPr>
          <w:sz w:val="18"/>
        </w:rPr>
        <w:t xml:space="preserve">23. Movshovitz-Attias, Y.; Toshev, A.; Leung, T.K.; Ioffe, S.; Singh, S. No Fuss Distance Metric Learning Using Proxies. In </w:t>
      </w:r>
      <w:r>
        <w:rPr>
          <w:i/>
          <w:iCs/>
          <w:sz w:val="18"/>
        </w:rPr>
        <w:t>2017 IEEE International Conference on Computer Vision (ICCV)</w:t>
      </w:r>
      <w:r>
        <w:rPr>
          <w:sz w:val="18"/>
        </w:rPr>
        <w:t>; 2017, 360–368. https://doi.org/10.1109/ICCV.2017.47</w:t>
      </w:r>
    </w:p>
    <w:p w14:paraId="0AAF25EB">
      <w:pPr>
        <w:pStyle w:val="19"/>
        <w:keepLines/>
        <w:spacing w:line="252" w:lineRule="auto"/>
        <w:ind w:left="360" w:hanging="360"/>
      </w:pPr>
      <w:r>
        <w:rPr>
          <w:sz w:val="18"/>
        </w:rPr>
        <w:t xml:space="preserve">24. He, K.; Zhang, X.; Ren, S.; Sun, J. Deep Residual Learning for Image Recognition. In </w:t>
      </w:r>
      <w:r>
        <w:rPr>
          <w:i/>
          <w:iCs/>
          <w:sz w:val="18"/>
        </w:rPr>
        <w:t>2016 IEEE Conference on Computer Vision and Pattern Recognition (CVPR)</w:t>
      </w:r>
      <w:r>
        <w:rPr>
          <w:sz w:val="18"/>
        </w:rPr>
        <w:t>; 2016, 770–778. https://doi.org/10.1109/CVPR.2016.90</w:t>
      </w:r>
    </w:p>
    <w:p w14:paraId="1D4B3D9E">
      <w:pPr>
        <w:pStyle w:val="19"/>
        <w:keepLines/>
        <w:spacing w:line="252" w:lineRule="auto"/>
        <w:ind w:left="360" w:hanging="360"/>
      </w:pPr>
      <w:r>
        <w:rPr>
          <w:sz w:val="18"/>
        </w:rPr>
        <w:t xml:space="preserve">25. Huang, G.; Liu, Z.; Van Der Maaten, L.; Weinberger, K.Q. Densely Connected Convolutional Networks. In </w:t>
      </w:r>
      <w:r>
        <w:rPr>
          <w:i/>
          <w:iCs/>
          <w:sz w:val="18"/>
        </w:rPr>
        <w:t>2017 IEEE Conference on Computer Vision and Pattern Recognition (CVPR)</w:t>
      </w:r>
      <w:r>
        <w:rPr>
          <w:sz w:val="18"/>
        </w:rPr>
        <w:t>; 2017, 2261–2269. https://doi.org/10.1109/cvpr.2017.243</w:t>
      </w:r>
    </w:p>
    <w:p w14:paraId="0ED650F5">
      <w:pPr>
        <w:pStyle w:val="19"/>
        <w:keepLines/>
        <w:spacing w:line="252" w:lineRule="auto"/>
        <w:ind w:left="360" w:hanging="360"/>
      </w:pPr>
      <w:r>
        <w:rPr>
          <w:sz w:val="18"/>
        </w:rPr>
        <w:t xml:space="preserve">26. Geirhos, R.; Jacobsen, J.H.; Michaelis, C.; Zemel, R.; Brendel, W.; Bethge, M.; Wichmann, F.A. Shortcut learning in deep neural networks. </w:t>
      </w:r>
      <w:r>
        <w:rPr>
          <w:i/>
          <w:iCs/>
          <w:sz w:val="18"/>
        </w:rPr>
        <w:t>Nat. Mach. Intell.</w:t>
      </w:r>
      <w:r>
        <w:rPr>
          <w:sz w:val="18"/>
        </w:rPr>
        <w:t xml:space="preserve"> </w:t>
      </w:r>
      <w:r>
        <w:rPr>
          <w:b/>
          <w:bCs/>
          <w:sz w:val="18"/>
        </w:rPr>
        <w:t>2020</w:t>
      </w:r>
      <w:r>
        <w:rPr>
          <w:sz w:val="18"/>
        </w:rPr>
        <w:t xml:space="preserve">, </w:t>
      </w:r>
      <w:r>
        <w:rPr>
          <w:i/>
          <w:iCs/>
          <w:sz w:val="18"/>
        </w:rPr>
        <w:t>2</w:t>
      </w:r>
      <w:r>
        <w:rPr>
          <w:sz w:val="18"/>
        </w:rPr>
        <w:t>, 665–673. https://doi.org/10.1038/s42256-020-00257-z</w:t>
      </w:r>
    </w:p>
    <w:p w14:paraId="5E71D488">
      <w:pPr>
        <w:pStyle w:val="19"/>
        <w:keepLines/>
        <w:spacing w:line="252" w:lineRule="auto"/>
        <w:ind w:left="360" w:hanging="360"/>
      </w:pPr>
      <w:r>
        <w:rPr>
          <w:sz w:val="18"/>
        </w:rPr>
        <w:t xml:space="preserve">27. Roberts, D.R.; Bahn, V.; Ciuti, S.; Boyce, M.S.; Elith, J.; Guillera‐Arroita, G.; Hauenstein, S.; Lahoz‐Monfort, J.J.; Schröder, B.; Thuiller, W.; Warton, D.I.; Wintle, B.A.; Hartig, F.; Dormann, C.F. Cross‐validation strategies for data with temporal, spatial, hierarchical, or phylogenetic structure. </w:t>
      </w:r>
      <w:r>
        <w:rPr>
          <w:i/>
          <w:iCs/>
          <w:sz w:val="18"/>
        </w:rPr>
        <w:t>Ecography</w:t>
      </w:r>
      <w:r>
        <w:rPr>
          <w:sz w:val="18"/>
        </w:rPr>
        <w:t xml:space="preserve"> </w:t>
      </w:r>
      <w:r>
        <w:rPr>
          <w:b/>
          <w:bCs/>
          <w:sz w:val="18"/>
        </w:rPr>
        <w:t>2017</w:t>
      </w:r>
      <w:r>
        <w:rPr>
          <w:sz w:val="18"/>
        </w:rPr>
        <w:t xml:space="preserve">, </w:t>
      </w:r>
      <w:r>
        <w:rPr>
          <w:i/>
          <w:iCs/>
          <w:sz w:val="18"/>
        </w:rPr>
        <w:t>40</w:t>
      </w:r>
      <w:r>
        <w:rPr>
          <w:sz w:val="18"/>
        </w:rPr>
        <w:t>, 913–929. https://doi.org/10.1111/ecog.02881</w:t>
      </w:r>
    </w:p>
    <w:p w14:paraId="1A013E62">
      <w:pPr>
        <w:pStyle w:val="19"/>
        <w:keepLines/>
        <w:spacing w:line="252" w:lineRule="auto"/>
        <w:ind w:left="360" w:hanging="360"/>
      </w:pPr>
      <w:r>
        <w:rPr>
          <w:sz w:val="18"/>
        </w:rPr>
        <w:t xml:space="preserve">28. Cawley, G.C.; Talbot, N.L.C. On Over-fitting in Model Selection and Subsequent Selection Bias in Performance Evaluation. </w:t>
      </w:r>
      <w:r>
        <w:rPr>
          <w:i/>
          <w:iCs/>
          <w:sz w:val="18"/>
        </w:rPr>
        <w:t>J. Mach. Learn. Res.</w:t>
      </w:r>
      <w:r>
        <w:rPr>
          <w:sz w:val="18"/>
        </w:rPr>
        <w:t xml:space="preserve"> </w:t>
      </w:r>
      <w:r>
        <w:rPr>
          <w:b/>
          <w:bCs/>
          <w:sz w:val="18"/>
        </w:rPr>
        <w:t>2010</w:t>
      </w:r>
      <w:r>
        <w:rPr>
          <w:sz w:val="18"/>
        </w:rPr>
        <w:t xml:space="preserve">, </w:t>
      </w:r>
      <w:r>
        <w:rPr>
          <w:i/>
          <w:iCs/>
          <w:sz w:val="18"/>
        </w:rPr>
        <w:t>11</w:t>
      </w:r>
      <w:r>
        <w:rPr>
          <w:sz w:val="18"/>
        </w:rPr>
        <w:t>, 2079–2107. Available online: https://www.jmlr.org/papers/v11/cawley10a.html (accessed on 16 September 2026).</w:t>
      </w:r>
    </w:p>
    <w:p w14:paraId="00503906">
      <w:pPr>
        <w:pStyle w:val="19"/>
        <w:keepLines/>
        <w:spacing w:line="252" w:lineRule="auto"/>
        <w:ind w:left="360" w:hanging="360"/>
      </w:pPr>
      <w:r>
        <w:rPr>
          <w:sz w:val="18"/>
        </w:rPr>
        <w:t xml:space="preserve">29. Koh, P.W.; Sagawa, S.; Marklund, H.; Xie, S.M.; Zhang, M.; Balsubramani, A.; Hu, W.; Yasunaga, M.; Phillips, R.L.; Gao, I.; Lee, T.; David, E.; Stavness, I.; Guo, W.; Earnshaw, B.; Haque, I.; Beery, S.M.; Leskovec, J.; Kundaje, A.; Pierson, E.; Levine, S.; Finn, C.; Liang, P. WILDS: A Benchmark of in-the-Wild Distribution Shifts. In </w:t>
      </w:r>
      <w:r>
        <w:rPr>
          <w:i/>
          <w:iCs/>
          <w:sz w:val="18"/>
        </w:rPr>
        <w:t>Proceedings of the 38th International Conference on Machine Learning</w:t>
      </w:r>
      <w:r>
        <w:rPr>
          <w:sz w:val="18"/>
        </w:rPr>
        <w:t xml:space="preserve">; 2021, </w:t>
      </w:r>
      <w:r>
        <w:rPr>
          <w:i/>
          <w:iCs/>
          <w:sz w:val="18"/>
        </w:rPr>
        <w:t>139</w:t>
      </w:r>
      <w:r>
        <w:rPr>
          <w:sz w:val="18"/>
        </w:rPr>
        <w:t>, 5637–5664. Available online: https://proceedings.mlr.press/v139/koh21a.html (accessed on 16 September 2026).</w:t>
      </w:r>
    </w:p>
    <w:p w14:paraId="4875B6F8">
      <w:pPr>
        <w:pStyle w:val="19"/>
        <w:keepLines/>
        <w:spacing w:line="252" w:lineRule="auto"/>
        <w:ind w:left="360" w:hanging="360"/>
      </w:pPr>
      <w:r>
        <w:rPr>
          <w:sz w:val="18"/>
        </w:rPr>
        <w:t xml:space="preserve">30. Möller, S.; Hölscher, M.; Morisse, K. Automatisierte Erzeugung eines Trainingsdatensatzes zur bildbasierten Tieridentifikation mittels KI. In </w:t>
      </w:r>
      <w:r>
        <w:rPr>
          <w:i/>
          <w:iCs/>
          <w:sz w:val="18"/>
        </w:rPr>
        <w:t>Digitale Infrastrukturen, Lecture Notes in Informatics</w:t>
      </w:r>
      <w:r>
        <w:rPr>
          <w:sz w:val="18"/>
        </w:rPr>
        <w:t xml:space="preserve">; 2025, </w:t>
      </w:r>
      <w:r>
        <w:rPr>
          <w:i/>
          <w:iCs/>
          <w:sz w:val="18"/>
        </w:rPr>
        <w:t>358</w:t>
      </w:r>
      <w:r>
        <w:rPr>
          <w:sz w:val="18"/>
        </w:rPr>
        <w:t>, 351–356. https://doi.org/10.18420/giljt2025_41</w:t>
      </w:r>
    </w:p>
    <w:p w14:paraId="76E9C8DD">
      <w:pPr>
        <w:pStyle w:val="19"/>
        <w:keepLines/>
        <w:spacing w:line="252" w:lineRule="auto"/>
        <w:ind w:left="360" w:hanging="360"/>
      </w:pPr>
      <w:r>
        <w:rPr>
          <w:sz w:val="18"/>
        </w:rPr>
        <w:t xml:space="preserve">31. Russakovsky, O.; Deng, J.; Su, H.; Krause, J.; Satheesh, S.; Ma, S.; Huang, Z.; Karpathy, A.; Khosla, A.; Bernstein, M.; Berg, A.C.; Fei-Fei, L. ImageNet Large Scale Visual Recognition Challenge. </w:t>
      </w:r>
      <w:r>
        <w:rPr>
          <w:i/>
          <w:iCs/>
          <w:sz w:val="18"/>
        </w:rPr>
        <w:t>Int. J. Comput. Vis.</w:t>
      </w:r>
      <w:r>
        <w:rPr>
          <w:sz w:val="18"/>
        </w:rPr>
        <w:t xml:space="preserve"> </w:t>
      </w:r>
      <w:r>
        <w:rPr>
          <w:b/>
          <w:bCs/>
          <w:sz w:val="18"/>
        </w:rPr>
        <w:t>2015</w:t>
      </w:r>
      <w:r>
        <w:rPr>
          <w:sz w:val="18"/>
        </w:rPr>
        <w:t xml:space="preserve">, </w:t>
      </w:r>
      <w:r>
        <w:rPr>
          <w:i/>
          <w:iCs/>
          <w:sz w:val="18"/>
        </w:rPr>
        <w:t>115</w:t>
      </w:r>
      <w:r>
        <w:rPr>
          <w:sz w:val="18"/>
        </w:rPr>
        <w:t>, 211–252. https://doi.org/10.1007/s11263-015-0816-y</w:t>
      </w:r>
    </w:p>
    <w:p w14:paraId="1B7E2295">
      <w:pPr>
        <w:pStyle w:val="19"/>
        <w:keepLines/>
        <w:spacing w:line="252" w:lineRule="auto"/>
        <w:ind w:left="360" w:hanging="360"/>
      </w:pPr>
      <w:r>
        <w:rPr>
          <w:sz w:val="18"/>
        </w:rPr>
        <w:t xml:space="preserve">32. Efron, B. Bootstrap Methods: Another Look at the Jackknife. </w:t>
      </w:r>
      <w:r>
        <w:rPr>
          <w:i/>
          <w:iCs/>
          <w:sz w:val="18"/>
        </w:rPr>
        <w:t xml:space="preserve">Ann. Stat. 1979, 7, 1–26. https://doi.org/10.1214/aos/1176344552</w:t>
      </w:r>
      <w:r>
        <w:rPr>
          <w:sz w:val="18"/>
        </w:rPr>
        <w:t xml:space="preserve"/>
      </w:r>
      <w:r>
        <w:rPr>
          <w:b/>
          <w:bCs/>
          <w:sz w:val="18"/>
        </w:rPr>
        <w:t xml:space="preserve"/>
      </w:r>
      <w:r>
        <w:rPr>
          <w:sz w:val="18"/>
        </w:rPr>
        <w:t xml:space="preserve"/>
      </w:r>
      <w:r>
        <w:rPr>
          <w:i/>
          <w:iCs/>
          <w:sz w:val="18"/>
        </w:rPr>
        <w:t xml:space="preserve"/>
      </w:r>
      <w:r>
        <w:rPr>
          <w:sz w:val="18"/>
        </w:rPr>
        <w:t xml:space="preserve"/>
      </w:r>
    </w:p>
    <w:bookmarkEnd w:id="21"/>
    <w:sectPr>
      <w:footerReference r:id="rId5" w:type="default"/>
      <w:pgSz w:w="11909" w:h="16834"/>
      <w:pgMar w:top="1224" w:right="1296" w:bottom="1224" w:left="1512" w:header="720" w:footer="720" w:gutter="0"/>
      <w:lnNumType w:countBy="0" w:distance="18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16056">
    <w:pPr>
      <w:pStyle w:val="24"/>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340244"/>
    <w:rsid w:val="3FC52F79"/>
    <w:rsid w:val="5ABF375E"/>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88" w:lineRule="auto"/>
      <w:ind w:firstLine="44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widowControl/>
      <w:spacing w:before="240" w:after="100" w:line="288" w:lineRule="auto"/>
      <w:outlineLvl w:val="0"/>
    </w:pPr>
    <w:rPr>
      <w:rFonts w:asciiTheme="majorHAnsi" w:hAnsiTheme="majorHAnsi" w:eastAsiaTheme="majorEastAsia" w:cstheme="majorBidi"/>
      <w:b/>
      <w:bCs/>
      <w:color w:val="000000"/>
      <w:sz w:val="24"/>
      <w:szCs w:val="28"/>
    </w:rPr>
  </w:style>
  <w:style w:type="paragraph" w:styleId="4">
    <w:name w:val="heading 2"/>
    <w:basedOn w:val="1"/>
    <w:next w:val="1"/>
    <w:link w:val="139"/>
    <w:unhideWhenUsed/>
    <w:qFormat/>
    <w:uiPriority w:val="9"/>
    <w:pPr>
      <w:keepNext/>
      <w:keepLines/>
      <w:widowControl/>
      <w:spacing w:before="240" w:after="100" w:line="288" w:lineRule="auto"/>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widowControl/>
      <w:spacing w:before="240" w:after="100" w:line="324" w:lineRule="auto"/>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widowControl/>
      <w:spacing w:after="100" w:line="288" w:lineRule="auto"/>
    </w:pPr>
    <w:rPr>
      <w:rFonts w:ascii="Times New Roman" w:hAnsi="Times New Roman" w:eastAsia="宋体"/>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widowControl/>
      <w:spacing w:after="100" w:line="288" w:lineRule="auto"/>
      <w:ind w:firstLine="440"/>
    </w:pPr>
    <w:rPr>
      <w:rFonts w:ascii="Times New Roman" w:hAnsi="Times New Roman" w:eastAsia="宋体"/>
      <w:color w:val="000000"/>
      <w:sz w:val="21"/>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widowControl/>
      <w:spacing w:after="100" w:line="288" w:lineRule="auto"/>
    </w:pPr>
    <w:rPr>
      <w:rFonts w:asciiTheme="majorHAnsi" w:hAnsiTheme="majorHAnsi" w:eastAsiaTheme="majorEastAsia" w:cstheme="majorBidi"/>
      <w:i/>
      <w:iCs/>
      <w:color w:val="000000"/>
      <w:spacing w:val="15"/>
      <w:sz w:val="20"/>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widowControl/>
      <w:spacing w:before="240" w:after="100" w:line="288" w:lineRule="auto"/>
      <w:contextualSpacing/>
    </w:pPr>
    <w:rPr>
      <w:rFonts w:asciiTheme="majorHAnsi" w:hAnsiTheme="majorHAnsi" w:eastAsiaTheme="majorEastAsia" w:cstheme="majorBidi"/>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rst Paragraph"/>
    <w:uiPriority w:val="0"/>
    <w:pPr>
      <w:widowControl/>
      <w:spacing w:after="100" w:line="288" w:lineRule="auto"/>
      <w:ind w:firstLine="440"/>
    </w:pPr>
    <w:rPr>
      <w:rFonts w:ascii="Times New Roman" w:hAnsi="Times New Roman" w:eastAsia="宋体" w:cstheme="minorBidi"/>
      <w:color w:val="000000"/>
      <w:sz w:val="21"/>
      <w:szCs w:val="22"/>
      <w:lang w:val="en-US" w:eastAsia="en-US" w:bidi="ar-SA"/>
    </w:rPr>
  </w:style>
  <w:style w:type="paragraph" w:customStyle="1" w:styleId="165">
    <w:name w:val="Source Code"/>
    <w:basedOn w:val="1"/>
    <w:uiPriority w:val="0"/>
    <w:pPr>
      <w:wordWrap w:val="0"/>
    </w:pPr>
  </w:style>
  <w:style w:type="character" w:customStyle="1" w:styleId="166">
    <w:name w:val="KeywordTok"/>
    <w:uiPriority w:val="0"/>
    <w:rPr>
      <w:b/>
      <w:color w:val="007020"/>
    </w:rPr>
  </w:style>
  <w:style w:type="character" w:customStyle="1" w:styleId="167">
    <w:name w:val="DataTypeTok"/>
    <w:uiPriority w:val="0"/>
    <w:rPr>
      <w:color w:val="902000"/>
    </w:rPr>
  </w:style>
  <w:style w:type="character" w:customStyle="1" w:styleId="168">
    <w:name w:val="DecValTok"/>
    <w:uiPriority w:val="0"/>
    <w:rPr>
      <w:color w:val="40A070"/>
    </w:rPr>
  </w:style>
  <w:style w:type="character" w:customStyle="1" w:styleId="169">
    <w:name w:val="BaseNTok"/>
    <w:uiPriority w:val="0"/>
    <w:rPr>
      <w:color w:val="40A070"/>
    </w:rPr>
  </w:style>
  <w:style w:type="character" w:customStyle="1" w:styleId="170">
    <w:name w:val="FloatTok"/>
    <w:uiPriority w:val="0"/>
    <w:rPr>
      <w:color w:val="40A070"/>
    </w:rPr>
  </w:style>
  <w:style w:type="character" w:customStyle="1" w:styleId="171">
    <w:name w:val="ConstantTok"/>
    <w:uiPriority w:val="0"/>
    <w:rPr>
      <w:color w:val="880000"/>
    </w:rPr>
  </w:style>
  <w:style w:type="character" w:customStyle="1" w:styleId="172">
    <w:name w:val="CharTok"/>
    <w:uiPriority w:val="0"/>
    <w:rPr>
      <w:color w:val="4070A0"/>
    </w:rPr>
  </w:style>
  <w:style w:type="character" w:customStyle="1" w:styleId="173">
    <w:name w:val="SpecialCharTok"/>
    <w:uiPriority w:val="0"/>
    <w:rPr>
      <w:color w:val="4070A0"/>
    </w:rPr>
  </w:style>
  <w:style w:type="character" w:customStyle="1" w:styleId="174">
    <w:name w:val="StringTok"/>
    <w:uiPriority w:val="0"/>
    <w:rPr>
      <w:color w:val="4070A0"/>
    </w:rPr>
  </w:style>
  <w:style w:type="character" w:customStyle="1" w:styleId="175">
    <w:name w:val="VerbatimStringTok"/>
    <w:uiPriority w:val="0"/>
    <w:rPr>
      <w:color w:val="4070A0"/>
    </w:rPr>
  </w:style>
  <w:style w:type="character" w:customStyle="1" w:styleId="176">
    <w:name w:val="SpecialStringTok"/>
    <w:uiPriority w:val="0"/>
    <w:rPr>
      <w:color w:val="BB6688"/>
    </w:rPr>
  </w:style>
  <w:style w:type="character" w:customStyle="1" w:styleId="177">
    <w:name w:val="ImportTok"/>
    <w:uiPriority w:val="0"/>
    <w:rPr>
      <w:b/>
      <w:color w:val="008000"/>
    </w:rPr>
  </w:style>
  <w:style w:type="character" w:customStyle="1" w:styleId="178">
    <w:name w:val="CommentTok"/>
    <w:uiPriority w:val="0"/>
    <w:rPr>
      <w:i/>
      <w:color w:val="60A0B0"/>
    </w:rPr>
  </w:style>
  <w:style w:type="character" w:customStyle="1" w:styleId="179">
    <w:name w:val="DocumentationTok"/>
    <w:uiPriority w:val="0"/>
    <w:rPr>
      <w:i/>
      <w:color w:val="BA2121"/>
    </w:rPr>
  </w:style>
  <w:style w:type="character" w:customStyle="1" w:styleId="180">
    <w:name w:val="AnnotationTok"/>
    <w:uiPriority w:val="0"/>
    <w:rPr>
      <w:b/>
      <w:i/>
      <w:color w:val="60A0B0"/>
    </w:rPr>
  </w:style>
  <w:style w:type="character" w:customStyle="1" w:styleId="181">
    <w:name w:val="CommentVarTok"/>
    <w:uiPriority w:val="0"/>
    <w:rPr>
      <w:b/>
      <w:i/>
      <w:color w:val="60A0B0"/>
    </w:rPr>
  </w:style>
  <w:style w:type="character" w:customStyle="1" w:styleId="182">
    <w:name w:val="OtherTok"/>
    <w:uiPriority w:val="0"/>
    <w:rPr>
      <w:color w:val="007020"/>
    </w:rPr>
  </w:style>
  <w:style w:type="character" w:customStyle="1" w:styleId="183">
    <w:name w:val="FunctionTok"/>
    <w:uiPriority w:val="0"/>
    <w:rPr>
      <w:color w:val="06287E"/>
    </w:rPr>
  </w:style>
  <w:style w:type="character" w:customStyle="1" w:styleId="184">
    <w:name w:val="VariableTok"/>
    <w:uiPriority w:val="0"/>
    <w:rPr>
      <w:color w:val="19177C"/>
    </w:rPr>
  </w:style>
  <w:style w:type="character" w:customStyle="1" w:styleId="185">
    <w:name w:val="ControlFlowTok"/>
    <w:uiPriority w:val="0"/>
    <w:rPr>
      <w:b/>
      <w:color w:val="007020"/>
    </w:rPr>
  </w:style>
  <w:style w:type="character" w:customStyle="1" w:styleId="186">
    <w:name w:val="OperatorTok"/>
    <w:qFormat/>
    <w:uiPriority w:val="0"/>
    <w:rPr>
      <w:color w:val="666666"/>
    </w:rPr>
  </w:style>
  <w:style w:type="character" w:customStyle="1" w:styleId="187">
    <w:name w:val="BuiltInTok"/>
    <w:qFormat/>
    <w:uiPriority w:val="0"/>
    <w:rPr>
      <w:color w:val="008000"/>
    </w:rPr>
  </w:style>
  <w:style w:type="character" w:customStyle="1" w:styleId="188">
    <w:name w:val="ExtensionTok"/>
    <w:qFormat/>
    <w:uiPriority w:val="0"/>
  </w:style>
  <w:style w:type="character" w:customStyle="1" w:styleId="189">
    <w:name w:val="PreprocessorTok"/>
    <w:qFormat/>
    <w:uiPriority w:val="0"/>
    <w:rPr>
      <w:color w:val="BC7A00"/>
    </w:rPr>
  </w:style>
  <w:style w:type="character" w:customStyle="1" w:styleId="190">
    <w:name w:val="AttributeTok"/>
    <w:qFormat/>
    <w:uiPriority w:val="0"/>
    <w:rPr>
      <w:color w:val="7D9029"/>
    </w:rPr>
  </w:style>
  <w:style w:type="character" w:customStyle="1" w:styleId="191">
    <w:name w:val="RegionMarkerTok"/>
    <w:qFormat/>
    <w:uiPriority w:val="0"/>
  </w:style>
  <w:style w:type="character" w:customStyle="1" w:styleId="192">
    <w:name w:val="InformationTok"/>
    <w:qFormat/>
    <w:uiPriority w:val="0"/>
    <w:rPr>
      <w:b/>
      <w:i/>
      <w:color w:val="60A0B0"/>
    </w:rPr>
  </w:style>
  <w:style w:type="character" w:customStyle="1" w:styleId="193">
    <w:name w:val="WarningTok"/>
    <w:qFormat/>
    <w:uiPriority w:val="0"/>
    <w:rPr>
      <w:b/>
      <w:i/>
      <w:color w:val="60A0B0"/>
    </w:rPr>
  </w:style>
  <w:style w:type="character" w:customStyle="1" w:styleId="194">
    <w:name w:val="AlertTok"/>
    <w:qFormat/>
    <w:uiPriority w:val="0"/>
    <w:rPr>
      <w:b/>
      <w:color w:val="FF0000"/>
    </w:rPr>
  </w:style>
  <w:style w:type="character" w:customStyle="1" w:styleId="195">
    <w:name w:val="ErrorTok"/>
    <w:qFormat/>
    <w:uiPriority w:val="0"/>
    <w:rPr>
      <w:b/>
      <w:color w:val="FF0000"/>
    </w:rPr>
  </w:style>
  <w:style w:type="character" w:customStyle="1" w:styleId="196">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svg"/><Relationship Id="rId17" Type="http://schemas.openxmlformats.org/officeDocument/2006/relationships/image" Target="media/image11.pn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10665</Words>
  <Characters>16887</Characters>
  <Lines>0</Lines>
  <Paragraphs>0</Paragraphs>
  <TotalTime>25</TotalTime>
  <ScaleCrop>false</ScaleCrop>
  <LinksUpToDate>false</LinksUpToDate>
  <CharactersWithSpaces>17781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2026-09-16T16:23:00Z</dcterms:created>
  <dc:creator>白日梦想家</dc:creator>
  <cp:lastModifiedBy>白日梦想家</cp:lastModifiedBy>
  <dcterms:modified xsi:type="dcterms:W3CDTF">2026-09-17T09:47:14Z</dcterms:modified>
  <dc:title>牛只身份识别的完整候选库比较与探索性外部迁移分析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eyJoZGlkIjoiOTc1MmUwM2ZiNDZjMWVmNDg3MDhkMDVlZmIwYzYwZjYiLCJ1c2VySWQiOiIxMzc3ODA1MzczIn0=</vt:lpwstr>
  </property>
  <property fmtid="{D5CDD505-2E9C-101B-9397-08002B2CF9AE}" pid="3" name="KSOProductBuildVer">
    <vt:lpwstr>2052-12.1.0.28505</vt:lpwstr>
  </property>
  <property fmtid="{D5CDD505-2E9C-101B-9397-08002B2CF9AE}" pid="4" name="ICV">
    <vt:lpwstr>87488296F205450CB317EDFA2C3972CF_12</vt:lpwstr>
  </property>
</Properties>
</file>