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100E4" w14:textId="347F30DF" w:rsidR="00AE4E6C" w:rsidRDefault="008573C1" w:rsidP="005132F4">
      <w:pPr>
        <w:rPr>
          <w:b/>
        </w:rPr>
      </w:pPr>
      <w:bookmarkStart w:id="0" w:name="_GoBack"/>
      <w:bookmarkEnd w:id="0"/>
      <w:r>
        <w:rPr>
          <w:b/>
        </w:rPr>
        <w:t>Regression and Time Trends Exercise:</w:t>
      </w:r>
      <w:r w:rsidR="0008393D" w:rsidRPr="005C58AC">
        <w:rPr>
          <w:b/>
        </w:rPr>
        <w:t xml:space="preserve"> </w:t>
      </w:r>
      <w:r w:rsidR="002D6AA8">
        <w:rPr>
          <w:b/>
        </w:rPr>
        <w:t>Making inference about trends in the presence of autocorrelation</w:t>
      </w:r>
      <w:r w:rsidR="00800002">
        <w:rPr>
          <w:b/>
        </w:rPr>
        <w:t xml:space="preserve">, part </w:t>
      </w:r>
      <w:r w:rsidR="00801554">
        <w:rPr>
          <w:b/>
        </w:rPr>
        <w:t>2</w:t>
      </w:r>
      <w:r w:rsidR="002A4FE9">
        <w:rPr>
          <w:b/>
        </w:rPr>
        <w:t>, Generalized Least-Squares</w:t>
      </w:r>
    </w:p>
    <w:p w14:paraId="4D37B27C" w14:textId="77777777" w:rsidR="003E47DC" w:rsidRDefault="003E47DC" w:rsidP="005132F4"/>
    <w:p w14:paraId="41F62F9D" w14:textId="4C1EA402" w:rsidR="00CA5AC7" w:rsidRDefault="00630592" w:rsidP="00630592">
      <w:r>
        <w:t>For this exercise, we</w:t>
      </w:r>
      <w:r w:rsidR="003E47DC">
        <w:t xml:space="preserve"> will </w:t>
      </w:r>
      <w:r>
        <w:t xml:space="preserve">return to the interactive web application at </w:t>
      </w:r>
      <w:hyperlink r:id="rId7" w:history="1">
        <w:r w:rsidR="003E47DC" w:rsidRPr="00C84C53">
          <w:rPr>
            <w:rStyle w:val="Hyperlink"/>
          </w:rPr>
          <w:t>http://spark.rstudio.com/statmos/mod1_regression</w:t>
        </w:r>
      </w:hyperlink>
      <w:r w:rsidR="003E47DC">
        <w:t>.</w:t>
      </w:r>
    </w:p>
    <w:p w14:paraId="36B0B7E7" w14:textId="77777777" w:rsidR="000D39AF" w:rsidRDefault="000D39AF" w:rsidP="00630592"/>
    <w:p w14:paraId="637FD9F6" w14:textId="3AD9ACE0" w:rsidR="0048607E" w:rsidRDefault="0048607E" w:rsidP="00630592">
      <w:pPr>
        <w:rPr>
          <w:b/>
        </w:rPr>
      </w:pPr>
      <w:r w:rsidRPr="0048607E">
        <w:rPr>
          <w:b/>
        </w:rPr>
        <w:t xml:space="preserve">Background </w:t>
      </w:r>
    </w:p>
    <w:p w14:paraId="4BC9E68A" w14:textId="77777777" w:rsidR="0048607E" w:rsidRPr="0048607E" w:rsidRDefault="0048607E" w:rsidP="00630592">
      <w:pPr>
        <w:rPr>
          <w:b/>
        </w:rPr>
      </w:pPr>
    </w:p>
    <w:p w14:paraId="5FB678DF" w14:textId="77777777" w:rsidR="00801554" w:rsidRDefault="00801554" w:rsidP="000D39AF">
      <w:r>
        <w:t xml:space="preserve">In the last exercise, we used subsampling and adding a lag term to attempt to account for autocorrelation in regression models and allow us to use linear regression to make inferences about trends over time.  </w:t>
      </w:r>
    </w:p>
    <w:p w14:paraId="3FF2F1B8" w14:textId="77777777" w:rsidR="00801554" w:rsidRDefault="00801554" w:rsidP="000D39AF"/>
    <w:p w14:paraId="4E7391FF" w14:textId="6DA0A0B3" w:rsidR="00801554" w:rsidRDefault="00801554" w:rsidP="000D39AF">
      <w:r>
        <w:t xml:space="preserve">In a way, those are both indirect ways of dealing with the problem. Remember that temporal autocorrelation is only really a problem for regression if it shows up in the </w:t>
      </w:r>
      <w:r w:rsidRPr="00801554">
        <w:rPr>
          <w:b/>
        </w:rPr>
        <w:t>residuals</w:t>
      </w:r>
      <w:r>
        <w:rPr>
          <w:b/>
        </w:rPr>
        <w:t xml:space="preserve">, </w:t>
      </w:r>
      <w:r w:rsidRPr="00801554">
        <w:t xml:space="preserve">because it violates the assumption that </w:t>
      </w:r>
      <w:r>
        <w:t xml:space="preserve">the errors in the model are independent. That’s why we always examine plots of the residuals and compute the autocorrelation function on the residuals, not the raw data.  Remember that a </w:t>
      </w:r>
      <w:r w:rsidR="00C957D6">
        <w:t xml:space="preserve">linear </w:t>
      </w:r>
      <w:r>
        <w:t>regression model has the general form:</w:t>
      </w:r>
    </w:p>
    <w:p w14:paraId="2E49D511" w14:textId="77777777" w:rsidR="00801554" w:rsidRDefault="00801554" w:rsidP="000D39AF"/>
    <w:p w14:paraId="42B4BF59" w14:textId="474B4B98" w:rsidR="00801554" w:rsidRPr="00CA53E8" w:rsidRDefault="00CA53E8" w:rsidP="002A4FE9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7FB9C0" w14:textId="77777777" w:rsidR="00801554" w:rsidRDefault="00801554" w:rsidP="000D39AF"/>
    <w:p w14:paraId="08D462B5" w14:textId="41C5B0BB" w:rsidR="00801554" w:rsidRDefault="00801554" w:rsidP="000D39AF">
      <w:r>
        <w:t>Both of the strategies we used in the last exercise, subsampling and adding a lag, adjust either the response variable</w:t>
      </w:r>
      <w:r w:rsidR="00CA53E8">
        <w:t xml:space="preserve"> Y or the predictor variables</w:t>
      </w:r>
      <w:r w:rsidR="00E721EA">
        <w:t xml:space="preserve"> (</w:t>
      </w:r>
      <w:proofErr w:type="spellStart"/>
      <w:r w:rsidR="00E721EA">
        <w:t>X</w:t>
      </w:r>
      <w:r w:rsidR="00E721EA">
        <w:rPr>
          <w:vertAlign w:val="subscript"/>
        </w:rPr>
        <w:t>s</w:t>
      </w:r>
      <w:proofErr w:type="spellEnd"/>
      <w:r w:rsidR="00E721EA">
        <w:t>)</w:t>
      </w:r>
      <w:r>
        <w:t xml:space="preserve">.  The final strategy, and the one that’s used most – often in </w:t>
      </w:r>
      <w:r w:rsidR="002A4FE9">
        <w:t>research</w:t>
      </w:r>
      <w:r>
        <w:t>, is to incorporate temporal autocorrelation directly into the error component of the model</w:t>
      </w:r>
      <w:r w:rsidR="00E721EA">
        <w:t xml:space="preserve"> (</w:t>
      </w:r>
      <w:r w:rsidR="00E721EA" w:rsidRPr="005962D5">
        <w:t>σ</w:t>
      </w:r>
      <w:r w:rsidR="00E721EA" w:rsidRPr="005962D5">
        <w:rPr>
          <w:vertAlign w:val="superscript"/>
        </w:rPr>
        <w:t>2</w:t>
      </w:r>
      <w:r w:rsidR="00E721EA">
        <w:t>)</w:t>
      </w:r>
      <w:r>
        <w:t xml:space="preserve">, using a technique called </w:t>
      </w:r>
      <w:r w:rsidRPr="00801554">
        <w:rPr>
          <w:i/>
        </w:rPr>
        <w:t xml:space="preserve">generalized </w:t>
      </w:r>
      <w:proofErr w:type="gramStart"/>
      <w:r w:rsidRPr="00801554">
        <w:rPr>
          <w:i/>
        </w:rPr>
        <w:t>least-squares</w:t>
      </w:r>
      <w:proofErr w:type="gramEnd"/>
      <w:r>
        <w:t>.</w:t>
      </w:r>
    </w:p>
    <w:p w14:paraId="2FFCFC11" w14:textId="77777777" w:rsidR="00801554" w:rsidRDefault="00801554" w:rsidP="000D39AF"/>
    <w:p w14:paraId="175ED5FF" w14:textId="2C44457F" w:rsidR="00801554" w:rsidRPr="0048607E" w:rsidRDefault="00801554" w:rsidP="000D39AF">
      <w:pPr>
        <w:rPr>
          <w:i/>
        </w:rPr>
      </w:pPr>
      <w:r w:rsidRPr="0048607E">
        <w:rPr>
          <w:i/>
        </w:rPr>
        <w:t>What is Generalized Least Squares?</w:t>
      </w:r>
    </w:p>
    <w:p w14:paraId="0E82A292" w14:textId="77777777" w:rsidR="002A4FE9" w:rsidRDefault="002A4FE9" w:rsidP="000D39AF">
      <w:pPr>
        <w:rPr>
          <w:b/>
        </w:rPr>
      </w:pPr>
    </w:p>
    <w:p w14:paraId="42A4F6AA" w14:textId="018F1DE8" w:rsidR="00A86407" w:rsidRDefault="002A4FE9" w:rsidP="000D39AF">
      <w:r>
        <w:t>Remember the assumption that all of the errors in a</w:t>
      </w:r>
      <w:r w:rsidR="00CA53E8">
        <w:t>n ordinary least-squares</w:t>
      </w:r>
      <w:r>
        <w:t xml:space="preserve"> regression model are independent? We can put that statement in mathematical form by saying that the </w:t>
      </w:r>
      <w:r w:rsidR="00756C71">
        <w:t>covariance of expected errors at all observations separated in time are zero, and the covariance of expected errors at all observations taken at the same time is</w:t>
      </w:r>
      <w:r w:rsidR="00CA53E8">
        <w:t xml:space="preserve"> a</w:t>
      </w:r>
      <w:r w:rsidR="00756C71">
        <w:t xml:space="preserve"> constant. What is covariance? It’s just a measure of how strongly correlated observations are with each other.  Say we had a series of residuals from a regression model that tests for trends over time. Let’s cal</w:t>
      </w:r>
      <w:r w:rsidR="00A86407">
        <w:t>l these residual values u</w:t>
      </w:r>
      <w:r w:rsidR="00A86407" w:rsidRPr="00A86407">
        <w:rPr>
          <w:vertAlign w:val="subscript"/>
        </w:rPr>
        <w:t>1</w:t>
      </w:r>
      <w:r w:rsidR="00A86407">
        <w:t>, u</w:t>
      </w:r>
      <w:r w:rsidR="00A86407" w:rsidRPr="00A86407">
        <w:rPr>
          <w:vertAlign w:val="subscript"/>
        </w:rPr>
        <w:t>2</w:t>
      </w:r>
      <w:proofErr w:type="gramStart"/>
      <w:r w:rsidR="00A86407">
        <w:t>, u</w:t>
      </w:r>
      <w:r w:rsidR="00756C71" w:rsidRPr="00A86407">
        <w:rPr>
          <w:vertAlign w:val="subscript"/>
        </w:rPr>
        <w:t>3</w:t>
      </w:r>
      <w:r w:rsidR="00756C71">
        <w:t xml:space="preserve"> …</w:t>
      </w:r>
      <w:proofErr w:type="gramEnd"/>
      <w:r w:rsidR="00756C71">
        <w:t xml:space="preserve"> </w:t>
      </w:r>
      <w:proofErr w:type="spellStart"/>
      <w:r w:rsidR="00756C71">
        <w:t>u</w:t>
      </w:r>
      <w:r w:rsidR="00A86407">
        <w:rPr>
          <w:vertAlign w:val="subscript"/>
        </w:rPr>
        <w:t>T</w:t>
      </w:r>
      <w:r w:rsidR="00A86407" w:rsidRPr="00A86407">
        <w:t>.</w:t>
      </w:r>
      <w:proofErr w:type="spellEnd"/>
      <w:r w:rsidR="00A86407">
        <w:t xml:space="preserve">  We could write out a matrix that summarizes how much we expect these</w:t>
      </w:r>
      <w:r w:rsidR="00CA53E8">
        <w:t xml:space="preserve"> pairs of</w:t>
      </w:r>
      <w:r w:rsidR="00A86407">
        <w:t xml:space="preserve"> </w:t>
      </w:r>
      <w:r w:rsidR="00E721EA">
        <w:t xml:space="preserve">errors </w:t>
      </w:r>
      <w:r w:rsidR="00A86407">
        <w:t>to vary together</w:t>
      </w:r>
      <w:r w:rsidR="005962D5">
        <w:t xml:space="preserve"> if all of the errors are independent</w:t>
      </w:r>
      <w:r w:rsidR="00A86407">
        <w:t>:</w:t>
      </w:r>
    </w:p>
    <w:p w14:paraId="31EF3A15" w14:textId="77777777" w:rsidR="005962D5" w:rsidRDefault="005962D5" w:rsidP="000D39AF"/>
    <w:tbl>
      <w:tblPr>
        <w:tblStyle w:val="TableGrid"/>
        <w:tblW w:w="0" w:type="auto"/>
        <w:jc w:val="center"/>
        <w:tblInd w:w="1278" w:type="dxa"/>
        <w:tblLook w:val="04A0" w:firstRow="1" w:lastRow="0" w:firstColumn="1" w:lastColumn="0" w:noHBand="0" w:noVBand="1"/>
      </w:tblPr>
      <w:tblGrid>
        <w:gridCol w:w="1518"/>
        <w:gridCol w:w="613"/>
        <w:gridCol w:w="540"/>
        <w:gridCol w:w="720"/>
        <w:gridCol w:w="540"/>
        <w:gridCol w:w="690"/>
      </w:tblGrid>
      <w:tr w:rsidR="00C957D6" w:rsidRPr="00A86407" w14:paraId="6ADD18F3" w14:textId="2CD5CB2B" w:rsidTr="00C957D6">
        <w:trPr>
          <w:jc w:val="center"/>
        </w:trPr>
        <w:tc>
          <w:tcPr>
            <w:tcW w:w="1518" w:type="dxa"/>
          </w:tcPr>
          <w:p w14:paraId="774BC521" w14:textId="4437F6AF" w:rsidR="00C957D6" w:rsidRPr="005962D5" w:rsidRDefault="00C957D6" w:rsidP="00E721EA">
            <w:pPr>
              <w:jc w:val="center"/>
            </w:pPr>
            <w:r w:rsidRPr="005962D5">
              <w:t>Covariance</w:t>
            </w:r>
          </w:p>
        </w:tc>
        <w:tc>
          <w:tcPr>
            <w:tcW w:w="613" w:type="dxa"/>
          </w:tcPr>
          <w:p w14:paraId="30D675B4" w14:textId="476D1F3E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1</w:t>
            </w:r>
            <w:proofErr w:type="gramEnd"/>
          </w:p>
        </w:tc>
        <w:tc>
          <w:tcPr>
            <w:tcW w:w="540" w:type="dxa"/>
          </w:tcPr>
          <w:p w14:paraId="2E6E57D4" w14:textId="40545A66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2</w:t>
            </w:r>
            <w:proofErr w:type="gramEnd"/>
          </w:p>
        </w:tc>
        <w:tc>
          <w:tcPr>
            <w:tcW w:w="720" w:type="dxa"/>
          </w:tcPr>
          <w:p w14:paraId="5A2C26E6" w14:textId="7F1CE2D4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3</w:t>
            </w:r>
            <w:proofErr w:type="gramEnd"/>
          </w:p>
        </w:tc>
        <w:tc>
          <w:tcPr>
            <w:tcW w:w="540" w:type="dxa"/>
          </w:tcPr>
          <w:p w14:paraId="7496CE05" w14:textId="30563B26" w:rsidR="00C957D6" w:rsidRPr="005962D5" w:rsidRDefault="00C957D6" w:rsidP="00E721EA">
            <w:pPr>
              <w:jc w:val="center"/>
            </w:pPr>
            <w:r>
              <w:t>…</w:t>
            </w:r>
          </w:p>
        </w:tc>
        <w:tc>
          <w:tcPr>
            <w:tcW w:w="690" w:type="dxa"/>
          </w:tcPr>
          <w:p w14:paraId="20DFFFF9" w14:textId="485FC0C5" w:rsidR="00C957D6" w:rsidRPr="00C957D6" w:rsidRDefault="00C957D6" w:rsidP="00E721EA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u</w:t>
            </w:r>
            <w:r>
              <w:rPr>
                <w:vertAlign w:val="subscript"/>
              </w:rPr>
              <w:t>T</w:t>
            </w:r>
            <w:proofErr w:type="spellEnd"/>
            <w:proofErr w:type="gramEnd"/>
          </w:p>
        </w:tc>
      </w:tr>
      <w:tr w:rsidR="00C957D6" w:rsidRPr="00A86407" w14:paraId="7CFAF01B" w14:textId="4C6BB4A5" w:rsidTr="00C957D6">
        <w:trPr>
          <w:jc w:val="center"/>
        </w:trPr>
        <w:tc>
          <w:tcPr>
            <w:tcW w:w="1518" w:type="dxa"/>
          </w:tcPr>
          <w:p w14:paraId="586BB78E" w14:textId="3E99DA14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1</w:t>
            </w:r>
            <w:proofErr w:type="gramEnd"/>
          </w:p>
        </w:tc>
        <w:tc>
          <w:tcPr>
            <w:tcW w:w="613" w:type="dxa"/>
          </w:tcPr>
          <w:p w14:paraId="376D9BD4" w14:textId="119CD83A" w:rsidR="00C957D6" w:rsidRPr="005962D5" w:rsidRDefault="00C957D6" w:rsidP="00E721EA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540" w:type="dxa"/>
          </w:tcPr>
          <w:p w14:paraId="02FFD44F" w14:textId="46679764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B808855" w14:textId="0F27BFC8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08F3930E" w14:textId="726D8D3C" w:rsidR="00C957D6" w:rsidRDefault="00C957D6" w:rsidP="00C957D6">
            <w:pPr>
              <w:jc w:val="center"/>
            </w:pPr>
          </w:p>
        </w:tc>
        <w:tc>
          <w:tcPr>
            <w:tcW w:w="690" w:type="dxa"/>
          </w:tcPr>
          <w:p w14:paraId="5AFDF8D4" w14:textId="6BB08F29" w:rsidR="00C957D6" w:rsidRDefault="00C957D6" w:rsidP="00E721EA">
            <w:pPr>
              <w:jc w:val="center"/>
            </w:pPr>
            <w:r>
              <w:t>0</w:t>
            </w:r>
          </w:p>
        </w:tc>
      </w:tr>
      <w:tr w:rsidR="00C957D6" w:rsidRPr="00A86407" w14:paraId="3DB8A768" w14:textId="5C3FC384" w:rsidTr="00C957D6">
        <w:trPr>
          <w:jc w:val="center"/>
        </w:trPr>
        <w:tc>
          <w:tcPr>
            <w:tcW w:w="1518" w:type="dxa"/>
          </w:tcPr>
          <w:p w14:paraId="11749506" w14:textId="0CD95331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2</w:t>
            </w:r>
            <w:proofErr w:type="gramEnd"/>
          </w:p>
        </w:tc>
        <w:tc>
          <w:tcPr>
            <w:tcW w:w="613" w:type="dxa"/>
          </w:tcPr>
          <w:p w14:paraId="4085C8E4" w14:textId="18221BF6" w:rsidR="00C957D6" w:rsidRPr="005962D5" w:rsidRDefault="00C957D6" w:rsidP="00E721EA">
            <w:pPr>
              <w:jc w:val="center"/>
            </w:pPr>
            <w:r w:rsidRPr="005962D5">
              <w:t>0</w:t>
            </w:r>
          </w:p>
        </w:tc>
        <w:tc>
          <w:tcPr>
            <w:tcW w:w="540" w:type="dxa"/>
          </w:tcPr>
          <w:p w14:paraId="6778B821" w14:textId="6717901F" w:rsidR="00C957D6" w:rsidRPr="005962D5" w:rsidRDefault="00C957D6" w:rsidP="00E721EA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720" w:type="dxa"/>
          </w:tcPr>
          <w:p w14:paraId="1D3CBA02" w14:textId="02F51714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2C9AE9F0" w14:textId="6FD0205E" w:rsidR="00C957D6" w:rsidRDefault="00C957D6" w:rsidP="00E721EA">
            <w:pPr>
              <w:jc w:val="center"/>
            </w:pPr>
          </w:p>
        </w:tc>
        <w:tc>
          <w:tcPr>
            <w:tcW w:w="690" w:type="dxa"/>
          </w:tcPr>
          <w:p w14:paraId="153C8B61" w14:textId="6F7105E3" w:rsidR="00C957D6" w:rsidRDefault="00C957D6" w:rsidP="00E721EA">
            <w:pPr>
              <w:jc w:val="center"/>
            </w:pPr>
            <w:r>
              <w:t>0</w:t>
            </w:r>
          </w:p>
        </w:tc>
      </w:tr>
      <w:tr w:rsidR="00C957D6" w:rsidRPr="00A86407" w14:paraId="0F43A29C" w14:textId="4EBBB558" w:rsidTr="00C957D6">
        <w:trPr>
          <w:jc w:val="center"/>
        </w:trPr>
        <w:tc>
          <w:tcPr>
            <w:tcW w:w="1518" w:type="dxa"/>
          </w:tcPr>
          <w:p w14:paraId="28FD75AB" w14:textId="6F972CA2" w:rsidR="00C957D6" w:rsidRPr="005962D5" w:rsidRDefault="00C957D6" w:rsidP="00E721EA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3</w:t>
            </w:r>
            <w:proofErr w:type="gramEnd"/>
          </w:p>
        </w:tc>
        <w:tc>
          <w:tcPr>
            <w:tcW w:w="613" w:type="dxa"/>
          </w:tcPr>
          <w:p w14:paraId="1E97FB0A" w14:textId="6F9760E4" w:rsidR="00C957D6" w:rsidRPr="005962D5" w:rsidRDefault="00C957D6" w:rsidP="00E721EA">
            <w:pPr>
              <w:jc w:val="center"/>
            </w:pPr>
            <w:r w:rsidRPr="005962D5">
              <w:t>0</w:t>
            </w:r>
          </w:p>
        </w:tc>
        <w:tc>
          <w:tcPr>
            <w:tcW w:w="540" w:type="dxa"/>
          </w:tcPr>
          <w:p w14:paraId="478660E9" w14:textId="14373DA9" w:rsidR="00C957D6" w:rsidRPr="005962D5" w:rsidRDefault="00C957D6" w:rsidP="00E721EA">
            <w:pPr>
              <w:jc w:val="center"/>
            </w:pPr>
            <w:r w:rsidRPr="005962D5">
              <w:t>0</w:t>
            </w:r>
          </w:p>
        </w:tc>
        <w:tc>
          <w:tcPr>
            <w:tcW w:w="720" w:type="dxa"/>
          </w:tcPr>
          <w:p w14:paraId="09409FEB" w14:textId="0E00F5B1" w:rsidR="00C957D6" w:rsidRPr="005962D5" w:rsidRDefault="00C957D6" w:rsidP="00E721EA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540" w:type="dxa"/>
          </w:tcPr>
          <w:p w14:paraId="74C0A45C" w14:textId="1E76B3CE" w:rsidR="00C957D6" w:rsidRPr="005962D5" w:rsidRDefault="00C957D6" w:rsidP="00E721EA">
            <w:pPr>
              <w:jc w:val="center"/>
            </w:pPr>
          </w:p>
        </w:tc>
        <w:tc>
          <w:tcPr>
            <w:tcW w:w="690" w:type="dxa"/>
          </w:tcPr>
          <w:p w14:paraId="1228D826" w14:textId="5DFBC82E" w:rsidR="00C957D6" w:rsidRPr="005962D5" w:rsidRDefault="00C957D6" w:rsidP="00E721EA">
            <w:pPr>
              <w:jc w:val="center"/>
            </w:pPr>
            <w:r>
              <w:t>0</w:t>
            </w:r>
          </w:p>
        </w:tc>
      </w:tr>
      <w:tr w:rsidR="00C957D6" w:rsidRPr="00A86407" w14:paraId="57584741" w14:textId="43F8E1DA" w:rsidTr="00C957D6">
        <w:trPr>
          <w:jc w:val="center"/>
        </w:trPr>
        <w:tc>
          <w:tcPr>
            <w:tcW w:w="1518" w:type="dxa"/>
          </w:tcPr>
          <w:p w14:paraId="524AE1AA" w14:textId="5F341257" w:rsidR="00C957D6" w:rsidRPr="005962D5" w:rsidRDefault="00C957D6" w:rsidP="00E721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613" w:type="dxa"/>
          </w:tcPr>
          <w:p w14:paraId="1DC00AE8" w14:textId="21014E19" w:rsidR="00C957D6" w:rsidRPr="005962D5" w:rsidRDefault="00C957D6" w:rsidP="00E721EA">
            <w:pPr>
              <w:jc w:val="center"/>
            </w:pPr>
          </w:p>
        </w:tc>
        <w:tc>
          <w:tcPr>
            <w:tcW w:w="540" w:type="dxa"/>
          </w:tcPr>
          <w:p w14:paraId="6B6F1915" w14:textId="4A1DD2E6" w:rsidR="00C957D6" w:rsidRPr="005962D5" w:rsidRDefault="00C957D6" w:rsidP="00E721EA">
            <w:pPr>
              <w:jc w:val="center"/>
            </w:pPr>
          </w:p>
        </w:tc>
        <w:tc>
          <w:tcPr>
            <w:tcW w:w="720" w:type="dxa"/>
          </w:tcPr>
          <w:p w14:paraId="20221A51" w14:textId="753095C5" w:rsidR="00C957D6" w:rsidRPr="005962D5" w:rsidRDefault="00C957D6" w:rsidP="00C957D6">
            <w:pPr>
              <w:jc w:val="center"/>
            </w:pPr>
          </w:p>
        </w:tc>
        <w:tc>
          <w:tcPr>
            <w:tcW w:w="540" w:type="dxa"/>
          </w:tcPr>
          <w:p w14:paraId="2CA3451D" w14:textId="7364D2DF" w:rsidR="00C957D6" w:rsidRPr="005962D5" w:rsidRDefault="0043666B" w:rsidP="00E721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90" w:type="dxa"/>
          </w:tcPr>
          <w:p w14:paraId="3DFD3CF1" w14:textId="56721A73" w:rsidR="00C957D6" w:rsidRPr="005962D5" w:rsidRDefault="00C957D6" w:rsidP="00E721EA">
            <w:pPr>
              <w:jc w:val="center"/>
            </w:pPr>
          </w:p>
        </w:tc>
      </w:tr>
      <w:tr w:rsidR="00C957D6" w:rsidRPr="00A86407" w14:paraId="63E1432A" w14:textId="3717ADBD" w:rsidTr="00C957D6">
        <w:trPr>
          <w:jc w:val="center"/>
        </w:trPr>
        <w:tc>
          <w:tcPr>
            <w:tcW w:w="1518" w:type="dxa"/>
          </w:tcPr>
          <w:p w14:paraId="791FC0CE" w14:textId="7C8FA1F3" w:rsidR="00C957D6" w:rsidRPr="00C957D6" w:rsidRDefault="00C957D6" w:rsidP="00E721EA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u</w:t>
            </w:r>
            <w:r>
              <w:rPr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613" w:type="dxa"/>
          </w:tcPr>
          <w:p w14:paraId="5234A39C" w14:textId="1F3B6A26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48756C6A" w14:textId="4563FAB0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BCD090E" w14:textId="27950556" w:rsidR="00C957D6" w:rsidRPr="005962D5" w:rsidRDefault="00C957D6" w:rsidP="00E721EA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0DA3BA2A" w14:textId="0475A93B" w:rsidR="00C957D6" w:rsidRPr="005962D5" w:rsidRDefault="00C957D6" w:rsidP="00E721EA">
            <w:pPr>
              <w:jc w:val="center"/>
            </w:pPr>
          </w:p>
        </w:tc>
        <w:tc>
          <w:tcPr>
            <w:tcW w:w="690" w:type="dxa"/>
          </w:tcPr>
          <w:p w14:paraId="2270EA61" w14:textId="7C603143" w:rsidR="00C957D6" w:rsidRPr="005962D5" w:rsidRDefault="00C957D6" w:rsidP="00E721EA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</w:tr>
    </w:tbl>
    <w:p w14:paraId="65353CBA" w14:textId="77777777" w:rsidR="00E721EA" w:rsidRDefault="00E721EA" w:rsidP="004B32FA"/>
    <w:p w14:paraId="6527A007" w14:textId="372C8D99" w:rsidR="005962D5" w:rsidRDefault="00CA53E8" w:rsidP="004B32FA">
      <w:r>
        <w:t xml:space="preserve">The diagonal elements of the matrix all </w:t>
      </w:r>
      <w:r w:rsidR="005962D5">
        <w:t xml:space="preserve">have a </w:t>
      </w:r>
      <w:proofErr w:type="gramStart"/>
      <w:r w:rsidR="005962D5">
        <w:t>value,</w:t>
      </w:r>
      <w:proofErr w:type="gramEnd"/>
      <w:r w:rsidR="005962D5">
        <w:t xml:space="preserve"> </w:t>
      </w:r>
      <w:r w:rsidR="005962D5" w:rsidRPr="005962D5">
        <w:t>σ</w:t>
      </w:r>
      <w:r w:rsidR="005962D5" w:rsidRPr="005962D5">
        <w:rPr>
          <w:vertAlign w:val="superscript"/>
        </w:rPr>
        <w:t>2</w:t>
      </w:r>
      <w:r w:rsidR="005962D5">
        <w:t xml:space="preserve"> indicating that </w:t>
      </w:r>
      <w:r>
        <w:t>observations collected in the same time interval</w:t>
      </w:r>
      <w:r w:rsidR="005962D5">
        <w:t xml:space="preserve"> </w:t>
      </w:r>
      <w:r>
        <w:t>should have a constant</w:t>
      </w:r>
      <w:r w:rsidR="00976BA8">
        <w:t xml:space="preserve"> covariance</w:t>
      </w:r>
      <w:r w:rsidR="0043666B">
        <w:t xml:space="preserve">, </w:t>
      </w:r>
      <w:r w:rsidR="0043666B" w:rsidRPr="005962D5">
        <w:t>σ</w:t>
      </w:r>
      <w:r w:rsidR="0043666B" w:rsidRPr="005962D5">
        <w:rPr>
          <w:vertAlign w:val="superscript"/>
        </w:rPr>
        <w:t>2</w:t>
      </w:r>
      <w:r w:rsidR="00976BA8">
        <w:t>.</w:t>
      </w:r>
      <w:r>
        <w:t xml:space="preserve">  Because all of the residuals are independent</w:t>
      </w:r>
      <w:r w:rsidR="00E721EA">
        <w:t>, all of the off-diagonal elements</w:t>
      </w:r>
      <w:r w:rsidR="00EF4A37">
        <w:t xml:space="preserve"> are zero, indicating that we expect no</w:t>
      </w:r>
      <w:r w:rsidR="00E721EA">
        <w:t xml:space="preserve"> </w:t>
      </w:r>
      <w:r w:rsidR="00EF4A37">
        <w:t>covariance</w:t>
      </w:r>
      <w:r w:rsidR="00E721EA">
        <w:t xml:space="preserve"> between errors in observations collected at different times.</w:t>
      </w:r>
    </w:p>
    <w:p w14:paraId="18338FA2" w14:textId="77777777" w:rsidR="00E721EA" w:rsidRDefault="00E721EA" w:rsidP="004B32FA"/>
    <w:p w14:paraId="0D19F799" w14:textId="466C98C8" w:rsidR="00E721EA" w:rsidRDefault="00E721EA" w:rsidP="004B32FA">
      <w:r>
        <w:t>When we have temporal autocorrelation</w:t>
      </w:r>
      <w:r w:rsidR="009D1B9D">
        <w:t>,</w:t>
      </w:r>
      <w:r w:rsidR="008231EE">
        <w:t xml:space="preserve"> then the off-diagonal elements of the matrix are no longer zero.</w:t>
      </w:r>
      <w:r w:rsidR="00C957D6">
        <w:t xml:space="preserve">  </w:t>
      </w:r>
      <w:r w:rsidR="0043666B">
        <w:t>In the simplest case,</w:t>
      </w:r>
      <w:r w:rsidR="00C957D6">
        <w:t xml:space="preserve"> all of the observations that are separated by one time-interval (a lag of one) have an additional covariance</w:t>
      </w:r>
      <w:r w:rsidR="0048607E">
        <w:t xml:space="preserve"> term, </w:t>
      </w:r>
      <w:r w:rsidR="0048607E" w:rsidRPr="0043666B">
        <w:rPr>
          <w:i/>
        </w:rPr>
        <w:t>p</w:t>
      </w:r>
      <w:r w:rsidR="009D1B9D">
        <w:t>, and that covariance decays exponentially as the lag interval increases. This means that, instead of being all zero, the off-diagonal elements in the error-covariance matrix now look like this:</w:t>
      </w:r>
    </w:p>
    <w:p w14:paraId="4003F2E4" w14:textId="77777777" w:rsidR="00C957D6" w:rsidRDefault="00C957D6" w:rsidP="004B32FA"/>
    <w:tbl>
      <w:tblPr>
        <w:tblStyle w:val="TableGrid"/>
        <w:tblW w:w="0" w:type="auto"/>
        <w:jc w:val="center"/>
        <w:tblInd w:w="1278" w:type="dxa"/>
        <w:tblLook w:val="04A0" w:firstRow="1" w:lastRow="0" w:firstColumn="1" w:lastColumn="0" w:noHBand="0" w:noVBand="1"/>
      </w:tblPr>
      <w:tblGrid>
        <w:gridCol w:w="1518"/>
        <w:gridCol w:w="874"/>
        <w:gridCol w:w="900"/>
        <w:gridCol w:w="810"/>
        <w:gridCol w:w="613"/>
        <w:gridCol w:w="969"/>
      </w:tblGrid>
      <w:tr w:rsidR="009D1B9D" w:rsidRPr="00A86407" w14:paraId="27461673" w14:textId="77777777" w:rsidTr="009D1B9D">
        <w:trPr>
          <w:jc w:val="center"/>
        </w:trPr>
        <w:tc>
          <w:tcPr>
            <w:tcW w:w="1518" w:type="dxa"/>
          </w:tcPr>
          <w:p w14:paraId="6167CD59" w14:textId="77777777" w:rsidR="00C957D6" w:rsidRPr="005962D5" w:rsidRDefault="00C957D6" w:rsidP="00C957D6">
            <w:pPr>
              <w:jc w:val="center"/>
            </w:pPr>
            <w:r w:rsidRPr="005962D5">
              <w:t>Covariance</w:t>
            </w:r>
          </w:p>
        </w:tc>
        <w:tc>
          <w:tcPr>
            <w:tcW w:w="874" w:type="dxa"/>
          </w:tcPr>
          <w:p w14:paraId="663DBA2E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1</w:t>
            </w:r>
            <w:proofErr w:type="gramEnd"/>
          </w:p>
        </w:tc>
        <w:tc>
          <w:tcPr>
            <w:tcW w:w="900" w:type="dxa"/>
          </w:tcPr>
          <w:p w14:paraId="691C514C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2</w:t>
            </w:r>
            <w:proofErr w:type="gramEnd"/>
          </w:p>
        </w:tc>
        <w:tc>
          <w:tcPr>
            <w:tcW w:w="810" w:type="dxa"/>
          </w:tcPr>
          <w:p w14:paraId="7E67C199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3</w:t>
            </w:r>
            <w:proofErr w:type="gramEnd"/>
          </w:p>
        </w:tc>
        <w:tc>
          <w:tcPr>
            <w:tcW w:w="613" w:type="dxa"/>
          </w:tcPr>
          <w:p w14:paraId="6D7B077C" w14:textId="77777777" w:rsidR="00C957D6" w:rsidRPr="005962D5" w:rsidRDefault="00C957D6" w:rsidP="00C957D6">
            <w:pPr>
              <w:jc w:val="center"/>
            </w:pPr>
            <w:r>
              <w:t>…</w:t>
            </w:r>
          </w:p>
        </w:tc>
        <w:tc>
          <w:tcPr>
            <w:tcW w:w="969" w:type="dxa"/>
          </w:tcPr>
          <w:p w14:paraId="23DB1875" w14:textId="77777777" w:rsidR="00C957D6" w:rsidRPr="00C957D6" w:rsidRDefault="00C957D6" w:rsidP="00C957D6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u</w:t>
            </w:r>
            <w:r>
              <w:rPr>
                <w:vertAlign w:val="subscript"/>
              </w:rPr>
              <w:t>T</w:t>
            </w:r>
            <w:proofErr w:type="spellEnd"/>
            <w:proofErr w:type="gramEnd"/>
          </w:p>
        </w:tc>
      </w:tr>
      <w:tr w:rsidR="009D1B9D" w:rsidRPr="00A86407" w14:paraId="39A25EA0" w14:textId="77777777" w:rsidTr="009D1B9D">
        <w:trPr>
          <w:jc w:val="center"/>
        </w:trPr>
        <w:tc>
          <w:tcPr>
            <w:tcW w:w="1518" w:type="dxa"/>
          </w:tcPr>
          <w:p w14:paraId="46D7FA5E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1</w:t>
            </w:r>
            <w:proofErr w:type="gramEnd"/>
          </w:p>
        </w:tc>
        <w:tc>
          <w:tcPr>
            <w:tcW w:w="874" w:type="dxa"/>
          </w:tcPr>
          <w:p w14:paraId="66ACB1A7" w14:textId="77777777" w:rsidR="00C957D6" w:rsidRPr="005962D5" w:rsidRDefault="00C957D6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900" w:type="dxa"/>
          </w:tcPr>
          <w:p w14:paraId="0A2834C7" w14:textId="459C19CB" w:rsidR="00C957D6" w:rsidRPr="0048607E" w:rsidRDefault="009D1B9D" w:rsidP="00C957D6">
            <w:pPr>
              <w:jc w:val="center"/>
              <w:rPr>
                <w:i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="0048607E">
              <w:rPr>
                <w:i/>
              </w:rPr>
              <w:t>p</w:t>
            </w:r>
          </w:p>
        </w:tc>
        <w:tc>
          <w:tcPr>
            <w:tcW w:w="810" w:type="dxa"/>
          </w:tcPr>
          <w:p w14:paraId="437D795B" w14:textId="10965D96" w:rsidR="00C957D6" w:rsidRPr="009D1B9D" w:rsidRDefault="009D1B9D" w:rsidP="00C957D6">
            <w:pPr>
              <w:jc w:val="center"/>
              <w:rPr>
                <w:i/>
                <w:vertAlign w:val="superscript"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2</w:t>
            </w:r>
          </w:p>
        </w:tc>
        <w:tc>
          <w:tcPr>
            <w:tcW w:w="613" w:type="dxa"/>
          </w:tcPr>
          <w:p w14:paraId="3FA56157" w14:textId="63184E98" w:rsidR="00C957D6" w:rsidRDefault="00C957D6" w:rsidP="00C957D6">
            <w:pPr>
              <w:jc w:val="center"/>
            </w:pPr>
          </w:p>
        </w:tc>
        <w:tc>
          <w:tcPr>
            <w:tcW w:w="969" w:type="dxa"/>
          </w:tcPr>
          <w:p w14:paraId="469412CF" w14:textId="4A941746" w:rsidR="00C957D6" w:rsidRDefault="009D1B9D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T-1</w:t>
            </w:r>
          </w:p>
        </w:tc>
      </w:tr>
      <w:tr w:rsidR="009D1B9D" w:rsidRPr="00A86407" w14:paraId="102A13EC" w14:textId="77777777" w:rsidTr="009D1B9D">
        <w:trPr>
          <w:jc w:val="center"/>
        </w:trPr>
        <w:tc>
          <w:tcPr>
            <w:tcW w:w="1518" w:type="dxa"/>
          </w:tcPr>
          <w:p w14:paraId="2514E848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2</w:t>
            </w:r>
            <w:proofErr w:type="gramEnd"/>
          </w:p>
        </w:tc>
        <w:tc>
          <w:tcPr>
            <w:tcW w:w="874" w:type="dxa"/>
          </w:tcPr>
          <w:p w14:paraId="2E1FE8ED" w14:textId="4C6BBAE0" w:rsidR="00C957D6" w:rsidRPr="0048607E" w:rsidRDefault="009D1B9D" w:rsidP="00C957D6">
            <w:pPr>
              <w:jc w:val="center"/>
              <w:rPr>
                <w:i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="0048607E" w:rsidRPr="0048607E">
              <w:rPr>
                <w:i/>
              </w:rPr>
              <w:t>p</w:t>
            </w:r>
          </w:p>
        </w:tc>
        <w:tc>
          <w:tcPr>
            <w:tcW w:w="900" w:type="dxa"/>
          </w:tcPr>
          <w:p w14:paraId="19378C9D" w14:textId="77777777" w:rsidR="00C957D6" w:rsidRPr="005962D5" w:rsidRDefault="00C957D6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810" w:type="dxa"/>
          </w:tcPr>
          <w:p w14:paraId="031A2593" w14:textId="7390F8FD" w:rsidR="00C957D6" w:rsidRPr="005962D5" w:rsidRDefault="009D1B9D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="0048607E" w:rsidRPr="0048607E">
              <w:rPr>
                <w:i/>
              </w:rPr>
              <w:t>p</w:t>
            </w:r>
          </w:p>
        </w:tc>
        <w:tc>
          <w:tcPr>
            <w:tcW w:w="613" w:type="dxa"/>
          </w:tcPr>
          <w:p w14:paraId="1D203745" w14:textId="13DB6758" w:rsidR="00C957D6" w:rsidRDefault="00C957D6" w:rsidP="00C957D6">
            <w:pPr>
              <w:jc w:val="center"/>
            </w:pPr>
          </w:p>
        </w:tc>
        <w:tc>
          <w:tcPr>
            <w:tcW w:w="969" w:type="dxa"/>
          </w:tcPr>
          <w:p w14:paraId="77F514C0" w14:textId="0948D806" w:rsidR="00C957D6" w:rsidRDefault="009D1B9D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vertAlign w:val="superscript"/>
              </w:rPr>
              <w:t>T-2</w:t>
            </w:r>
          </w:p>
        </w:tc>
      </w:tr>
      <w:tr w:rsidR="009D1B9D" w:rsidRPr="00A86407" w14:paraId="339A2132" w14:textId="77777777" w:rsidTr="009D1B9D">
        <w:trPr>
          <w:jc w:val="center"/>
        </w:trPr>
        <w:tc>
          <w:tcPr>
            <w:tcW w:w="1518" w:type="dxa"/>
          </w:tcPr>
          <w:p w14:paraId="394AF61D" w14:textId="77777777" w:rsidR="00C957D6" w:rsidRPr="005962D5" w:rsidRDefault="00C957D6" w:rsidP="00C957D6">
            <w:pPr>
              <w:jc w:val="center"/>
            </w:pPr>
            <w:proofErr w:type="gramStart"/>
            <w:r w:rsidRPr="005962D5">
              <w:t>u</w:t>
            </w:r>
            <w:r w:rsidRPr="005962D5">
              <w:rPr>
                <w:vertAlign w:val="subscript"/>
              </w:rPr>
              <w:t>3</w:t>
            </w:r>
            <w:proofErr w:type="gramEnd"/>
          </w:p>
        </w:tc>
        <w:tc>
          <w:tcPr>
            <w:tcW w:w="874" w:type="dxa"/>
          </w:tcPr>
          <w:p w14:paraId="0BD084EA" w14:textId="5BED0023" w:rsidR="00C957D6" w:rsidRPr="009D1B9D" w:rsidRDefault="009D1B9D" w:rsidP="00C957D6">
            <w:pPr>
              <w:jc w:val="center"/>
              <w:rPr>
                <w:i/>
                <w:vertAlign w:val="superscript"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2</w:t>
            </w:r>
          </w:p>
        </w:tc>
        <w:tc>
          <w:tcPr>
            <w:tcW w:w="900" w:type="dxa"/>
          </w:tcPr>
          <w:p w14:paraId="5987B855" w14:textId="2E4DC201" w:rsidR="00C957D6" w:rsidRPr="005962D5" w:rsidRDefault="009D1B9D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="0048607E" w:rsidRPr="0048607E">
              <w:rPr>
                <w:i/>
              </w:rPr>
              <w:t>p</w:t>
            </w:r>
          </w:p>
        </w:tc>
        <w:tc>
          <w:tcPr>
            <w:tcW w:w="810" w:type="dxa"/>
          </w:tcPr>
          <w:p w14:paraId="46B77EFA" w14:textId="77777777" w:rsidR="00C957D6" w:rsidRPr="005962D5" w:rsidRDefault="00C957D6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  <w:tc>
          <w:tcPr>
            <w:tcW w:w="613" w:type="dxa"/>
          </w:tcPr>
          <w:p w14:paraId="088F1E75" w14:textId="0A846320" w:rsidR="00C957D6" w:rsidRPr="005962D5" w:rsidRDefault="00C957D6" w:rsidP="00C957D6">
            <w:pPr>
              <w:jc w:val="center"/>
            </w:pPr>
          </w:p>
        </w:tc>
        <w:tc>
          <w:tcPr>
            <w:tcW w:w="969" w:type="dxa"/>
          </w:tcPr>
          <w:p w14:paraId="7590159D" w14:textId="606B23CA" w:rsidR="00C957D6" w:rsidRPr="005962D5" w:rsidRDefault="009D1B9D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T-3</w:t>
            </w:r>
          </w:p>
        </w:tc>
      </w:tr>
      <w:tr w:rsidR="009D1B9D" w:rsidRPr="00A86407" w14:paraId="76D38ECA" w14:textId="77777777" w:rsidTr="009D1B9D">
        <w:trPr>
          <w:jc w:val="center"/>
        </w:trPr>
        <w:tc>
          <w:tcPr>
            <w:tcW w:w="1518" w:type="dxa"/>
          </w:tcPr>
          <w:p w14:paraId="3AF84A10" w14:textId="77777777" w:rsidR="00C957D6" w:rsidRPr="005962D5" w:rsidRDefault="00C957D6" w:rsidP="00C957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874" w:type="dxa"/>
          </w:tcPr>
          <w:p w14:paraId="623E2BEA" w14:textId="1CE800C5" w:rsidR="00C957D6" w:rsidRPr="005962D5" w:rsidRDefault="00C957D6" w:rsidP="00C957D6">
            <w:pPr>
              <w:jc w:val="center"/>
            </w:pPr>
          </w:p>
        </w:tc>
        <w:tc>
          <w:tcPr>
            <w:tcW w:w="900" w:type="dxa"/>
          </w:tcPr>
          <w:p w14:paraId="0627A3A0" w14:textId="0B72518C" w:rsidR="00C957D6" w:rsidRPr="005962D5" w:rsidRDefault="00C957D6" w:rsidP="00C957D6">
            <w:pPr>
              <w:jc w:val="center"/>
            </w:pPr>
          </w:p>
        </w:tc>
        <w:tc>
          <w:tcPr>
            <w:tcW w:w="810" w:type="dxa"/>
          </w:tcPr>
          <w:p w14:paraId="39BCEF04" w14:textId="3BAF2261" w:rsidR="00C957D6" w:rsidRPr="005962D5" w:rsidRDefault="00C957D6" w:rsidP="00C957D6">
            <w:pPr>
              <w:jc w:val="center"/>
            </w:pPr>
          </w:p>
        </w:tc>
        <w:tc>
          <w:tcPr>
            <w:tcW w:w="613" w:type="dxa"/>
          </w:tcPr>
          <w:p w14:paraId="202A47A5" w14:textId="09208819" w:rsidR="00C957D6" w:rsidRPr="005962D5" w:rsidRDefault="009D1B9D" w:rsidP="00C957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969" w:type="dxa"/>
          </w:tcPr>
          <w:p w14:paraId="110B3A98" w14:textId="36AD6B19" w:rsidR="00C957D6" w:rsidRPr="005962D5" w:rsidRDefault="00C957D6" w:rsidP="00C957D6">
            <w:pPr>
              <w:jc w:val="center"/>
            </w:pPr>
          </w:p>
        </w:tc>
      </w:tr>
      <w:tr w:rsidR="009D1B9D" w:rsidRPr="00A86407" w14:paraId="033915BF" w14:textId="77777777" w:rsidTr="009D1B9D">
        <w:trPr>
          <w:jc w:val="center"/>
        </w:trPr>
        <w:tc>
          <w:tcPr>
            <w:tcW w:w="1518" w:type="dxa"/>
          </w:tcPr>
          <w:p w14:paraId="2D19D6B7" w14:textId="77777777" w:rsidR="00C957D6" w:rsidRPr="00C957D6" w:rsidRDefault="00C957D6" w:rsidP="00C957D6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u</w:t>
            </w:r>
            <w:r>
              <w:rPr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874" w:type="dxa"/>
          </w:tcPr>
          <w:p w14:paraId="534F03B8" w14:textId="2E2B139C" w:rsidR="00C957D6" w:rsidRPr="005962D5" w:rsidRDefault="009D1B9D" w:rsidP="009D1B9D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T-1</w:t>
            </w:r>
          </w:p>
        </w:tc>
        <w:tc>
          <w:tcPr>
            <w:tcW w:w="900" w:type="dxa"/>
          </w:tcPr>
          <w:p w14:paraId="194E9080" w14:textId="1BACF647" w:rsidR="00C957D6" w:rsidRPr="009D1B9D" w:rsidRDefault="009D1B9D" w:rsidP="00C957D6">
            <w:pPr>
              <w:jc w:val="center"/>
              <w:rPr>
                <w:vertAlign w:val="superscript"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vertAlign w:val="superscript"/>
              </w:rPr>
              <w:t>T-2</w:t>
            </w:r>
          </w:p>
        </w:tc>
        <w:tc>
          <w:tcPr>
            <w:tcW w:w="810" w:type="dxa"/>
          </w:tcPr>
          <w:p w14:paraId="760A2C21" w14:textId="5570B8B7" w:rsidR="00C957D6" w:rsidRPr="009D1B9D" w:rsidRDefault="009D1B9D" w:rsidP="00C957D6">
            <w:pPr>
              <w:jc w:val="center"/>
              <w:rPr>
                <w:i/>
                <w:vertAlign w:val="superscript"/>
              </w:rPr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  <w:r w:rsidRPr="009D1B9D">
              <w:rPr>
                <w:i/>
              </w:rPr>
              <w:t>p</w:t>
            </w:r>
            <w:r>
              <w:rPr>
                <w:i/>
                <w:vertAlign w:val="superscript"/>
              </w:rPr>
              <w:t>T-3</w:t>
            </w:r>
          </w:p>
        </w:tc>
        <w:tc>
          <w:tcPr>
            <w:tcW w:w="613" w:type="dxa"/>
          </w:tcPr>
          <w:p w14:paraId="7F4BDF93" w14:textId="4BE8A276" w:rsidR="00C957D6" w:rsidRPr="005962D5" w:rsidRDefault="00C957D6" w:rsidP="00C957D6">
            <w:pPr>
              <w:jc w:val="center"/>
            </w:pPr>
          </w:p>
        </w:tc>
        <w:tc>
          <w:tcPr>
            <w:tcW w:w="969" w:type="dxa"/>
          </w:tcPr>
          <w:p w14:paraId="1CCD18B2" w14:textId="77777777" w:rsidR="00C957D6" w:rsidRPr="005962D5" w:rsidRDefault="00C957D6" w:rsidP="00C957D6">
            <w:pPr>
              <w:jc w:val="center"/>
            </w:pPr>
            <w:r w:rsidRPr="005962D5">
              <w:t>σ</w:t>
            </w:r>
            <w:r w:rsidRPr="005962D5">
              <w:rPr>
                <w:vertAlign w:val="superscript"/>
              </w:rPr>
              <w:t>2</w:t>
            </w:r>
          </w:p>
        </w:tc>
      </w:tr>
    </w:tbl>
    <w:p w14:paraId="2B907F13" w14:textId="77777777" w:rsidR="00C957D6" w:rsidRDefault="00C957D6" w:rsidP="004B32FA"/>
    <w:p w14:paraId="30D3B43C" w14:textId="3CF3C64C" w:rsidR="00EF4A37" w:rsidRDefault="009D1B9D" w:rsidP="004B32FA">
      <w:r>
        <w:t>Because the autocorrelation</w:t>
      </w:r>
      <w:r w:rsidR="0043666B">
        <w:t xml:space="preserve"> term</w:t>
      </w:r>
      <w:r>
        <w:t xml:space="preserve"> </w:t>
      </w:r>
      <w:r w:rsidRPr="009D1B9D">
        <w:rPr>
          <w:i/>
        </w:rPr>
        <w:t>p</w:t>
      </w:r>
      <w:r>
        <w:rPr>
          <w:i/>
        </w:rPr>
        <w:t xml:space="preserve"> </w:t>
      </w:r>
      <w:r>
        <w:t>must be less than one</w:t>
      </w:r>
      <w:r w:rsidR="0043666B">
        <w:t xml:space="preserve">, then the </w:t>
      </w:r>
      <w:r w:rsidR="00BF6211">
        <w:t xml:space="preserve">correlation </w:t>
      </w:r>
      <w:r w:rsidR="0043666B">
        <w:t>between observations</w:t>
      </w:r>
      <w:r w:rsidR="00BF6211">
        <w:t xml:space="preserve"> at different times</w:t>
      </w:r>
      <w:r w:rsidR="0043666B">
        <w:t xml:space="preserve"> decays to zero as the number of time-intervals between observations increases. Because there is only one autocorrelation term, </w:t>
      </w:r>
      <w:r w:rsidR="0043666B" w:rsidRPr="0043666B">
        <w:rPr>
          <w:i/>
        </w:rPr>
        <w:t>p</w:t>
      </w:r>
      <w:r w:rsidR="0043666B">
        <w:t xml:space="preserve">, this matrix is called an </w:t>
      </w:r>
      <w:proofErr w:type="gramStart"/>
      <w:r w:rsidR="0043666B">
        <w:t>AR</w:t>
      </w:r>
      <w:r w:rsidR="00AA6BC5">
        <w:t>(</w:t>
      </w:r>
      <w:proofErr w:type="gramEnd"/>
      <w:r w:rsidR="0043666B">
        <w:t>1</w:t>
      </w:r>
      <w:r w:rsidR="00AA6BC5">
        <w:t>)</w:t>
      </w:r>
      <w:r w:rsidR="0043666B">
        <w:t xml:space="preserve"> error structure.  </w:t>
      </w:r>
    </w:p>
    <w:p w14:paraId="1B015195" w14:textId="77777777" w:rsidR="00EF4A37" w:rsidRDefault="00EF4A37" w:rsidP="004B32FA"/>
    <w:p w14:paraId="78187794" w14:textId="1974F920" w:rsidR="009D1B9D" w:rsidRDefault="00EF4A37" w:rsidP="004B32FA">
      <w:r>
        <w:t>Sometimes, this is too simple an idea of how errors are correlated. We could add additional parameters</w:t>
      </w:r>
      <w:r w:rsidR="00AA6BC5">
        <w:t xml:space="preserve"> that describe the relationships between errors at different time intervals. This larger family of error structures are known as </w:t>
      </w:r>
      <w:proofErr w:type="gramStart"/>
      <w:r w:rsidR="00AA6BC5">
        <w:t>AR(</w:t>
      </w:r>
      <w:proofErr w:type="gramEnd"/>
      <w:r w:rsidR="00AA6BC5" w:rsidRPr="00E82D3B">
        <w:rPr>
          <w:i/>
        </w:rPr>
        <w:t>p</w:t>
      </w:r>
      <w:r w:rsidR="00AA6BC5">
        <w:t>) structures. We won’t cover these in detail, but they all do basically the same thing: adjusting the error covariance matrix to account for temporal autocorrelation.</w:t>
      </w:r>
    </w:p>
    <w:p w14:paraId="69E24C48" w14:textId="77777777" w:rsidR="00E82D3B" w:rsidRDefault="00E82D3B" w:rsidP="004B32FA"/>
    <w:p w14:paraId="4628C73F" w14:textId="55FEA291" w:rsidR="00AA6BC5" w:rsidRDefault="00E82D3B" w:rsidP="004B32FA">
      <w:r>
        <w:t xml:space="preserve">The error-covariance matrix that we discussed above is a statement about our expectations of how errors are correlated. </w:t>
      </w:r>
      <w:r w:rsidR="00AA6BC5">
        <w:t xml:space="preserve">What generalized </w:t>
      </w:r>
      <w:proofErr w:type="gramStart"/>
      <w:r w:rsidR="00AA6BC5">
        <w:t>least-squares</w:t>
      </w:r>
      <w:proofErr w:type="gramEnd"/>
      <w:r w:rsidR="00AA6BC5">
        <w:t xml:space="preserve"> does is </w:t>
      </w:r>
      <w:r>
        <w:t>estimate the unknown parameters of</w:t>
      </w:r>
      <w:r w:rsidR="00AA6BC5">
        <w:t xml:space="preserve"> that error-covariance</w:t>
      </w:r>
      <w:r>
        <w:t xml:space="preserve"> matrix from the data and incorporate it into the model fitting procedure. The result is that we get a model that should give us reliable estimates of trends over time </w:t>
      </w:r>
      <w:r w:rsidRPr="00E82D3B">
        <w:rPr>
          <w:i/>
        </w:rPr>
        <w:t>and the uncertainty around that trend</w:t>
      </w:r>
      <w:r>
        <w:t>, something we can’t get from OLS when there is strong temporal autocorrelation.</w:t>
      </w:r>
    </w:p>
    <w:p w14:paraId="273E6F0E" w14:textId="77777777" w:rsidR="0043666B" w:rsidRDefault="0043666B" w:rsidP="004B32FA"/>
    <w:p w14:paraId="24AF7AA8" w14:textId="09A5D5E4" w:rsidR="00E82D3B" w:rsidRPr="00E82D3B" w:rsidRDefault="00E82D3B" w:rsidP="004B32FA">
      <w:pPr>
        <w:rPr>
          <w:i/>
        </w:rPr>
      </w:pPr>
      <w:r w:rsidRPr="00E82D3B">
        <w:rPr>
          <w:i/>
        </w:rPr>
        <w:t xml:space="preserve">Figuring out whether GLS with an </w:t>
      </w:r>
      <w:proofErr w:type="gramStart"/>
      <w:r w:rsidRPr="00E82D3B">
        <w:rPr>
          <w:i/>
        </w:rPr>
        <w:t>AR(</w:t>
      </w:r>
      <w:proofErr w:type="gramEnd"/>
      <w:r w:rsidRPr="00E82D3B">
        <w:rPr>
          <w:i/>
        </w:rPr>
        <w:t>p) error structure is appropriate</w:t>
      </w:r>
    </w:p>
    <w:p w14:paraId="7B013AAC" w14:textId="77777777" w:rsidR="00E82D3B" w:rsidRDefault="00E82D3B" w:rsidP="004B32FA"/>
    <w:p w14:paraId="5BE7DBCB" w14:textId="3A0B461F" w:rsidR="0043666B" w:rsidRDefault="0043666B" w:rsidP="004B32FA">
      <w:r>
        <w:t xml:space="preserve">So how do we know whether or not </w:t>
      </w:r>
      <w:r w:rsidR="00BF6211">
        <w:t xml:space="preserve">the pattern of autocorrelation in our data can be represented well by an </w:t>
      </w:r>
      <w:proofErr w:type="gramStart"/>
      <w:r w:rsidR="00BF6211">
        <w:t>AR</w:t>
      </w:r>
      <w:r w:rsidR="00EF4A37">
        <w:t>(</w:t>
      </w:r>
      <w:proofErr w:type="gramEnd"/>
      <w:r w:rsidR="00EF4A37" w:rsidRPr="00EF4A37">
        <w:rPr>
          <w:i/>
        </w:rPr>
        <w:t>p</w:t>
      </w:r>
      <w:r w:rsidR="00EF4A37">
        <w:t>)</w:t>
      </w:r>
      <w:r w:rsidR="00BF6211">
        <w:t xml:space="preserve"> error structure? Our primary clue is the plot of the Autocorrelation Function (ACF) for the residuals of a model fit by Ordinary Least Squares. If an AR1 model </w:t>
      </w:r>
      <w:r w:rsidR="00E82D3B">
        <w:t xml:space="preserve">for the errors </w:t>
      </w:r>
      <w:r w:rsidR="00BF6211">
        <w:t>is appropriate, then the ACF should decay exponentially as lag increases. This kind of ACF plot looks like this:</w:t>
      </w:r>
    </w:p>
    <w:p w14:paraId="02C58FDE" w14:textId="77777777" w:rsidR="001E62D4" w:rsidRDefault="001E62D4" w:rsidP="004B32FA"/>
    <w:p w14:paraId="1B34FADC" w14:textId="4BA0A274" w:rsidR="001E62D4" w:rsidRDefault="001E62D4" w:rsidP="00EF4A37">
      <w:pPr>
        <w:jc w:val="center"/>
      </w:pPr>
      <w:r>
        <w:rPr>
          <w:noProof/>
        </w:rPr>
        <w:drawing>
          <wp:inline distT="0" distB="0" distL="0" distR="0" wp14:anchorId="7026D149" wp14:editId="45E7EDF5">
            <wp:extent cx="3380014" cy="1855594"/>
            <wp:effectExtent l="0" t="0" r="0" b="0"/>
            <wp:docPr id="2" name="Picture 2" descr="Macintosh HD:Users:ian:Dropbox:Admin:STATMOS_RA:AR1_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Dropbox:Admin:STATMOS_RA:AR1_a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14" cy="18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B9D3" w14:textId="77777777" w:rsidR="00BF6211" w:rsidRDefault="00BF6211" w:rsidP="004B32FA"/>
    <w:p w14:paraId="29BD3668" w14:textId="1FE7EF64" w:rsidR="00BF6211" w:rsidRPr="009D1B9D" w:rsidRDefault="00E82D3B" w:rsidP="004B32FA">
      <w:r>
        <w:t xml:space="preserve">If this is the case, we can be reasonably confident that incorporating an </w:t>
      </w:r>
      <w:proofErr w:type="gramStart"/>
      <w:r>
        <w:t>AR(</w:t>
      </w:r>
      <w:proofErr w:type="gramEnd"/>
      <w:r>
        <w:t xml:space="preserve">p) error structure into the regression using </w:t>
      </w:r>
      <w:r w:rsidR="004168F7">
        <w:t>generalized least-squares</w:t>
      </w:r>
      <w:r>
        <w:t xml:space="preserve"> is appropriate.</w:t>
      </w:r>
    </w:p>
    <w:p w14:paraId="0E93D7BD" w14:textId="77777777" w:rsidR="005962D5" w:rsidRPr="005962D5" w:rsidRDefault="005962D5" w:rsidP="004B32FA"/>
    <w:p w14:paraId="4F4C6CC9" w14:textId="3C331405" w:rsidR="00CA5AC7" w:rsidRPr="005962D5" w:rsidRDefault="004B32FA" w:rsidP="004B32FA">
      <w:r w:rsidRPr="004B32FA">
        <w:rPr>
          <w:b/>
        </w:rPr>
        <w:t>Instructions:</w:t>
      </w:r>
    </w:p>
    <w:p w14:paraId="6C084269" w14:textId="77777777" w:rsidR="004B32FA" w:rsidRPr="004B32FA" w:rsidRDefault="004B32FA" w:rsidP="004B32FA"/>
    <w:p w14:paraId="3457BBEB" w14:textId="77777777" w:rsidR="00BB5CEC" w:rsidRDefault="004168F7" w:rsidP="00BB5CEC">
      <w:pPr>
        <w:pStyle w:val="ListParagraph"/>
        <w:numPr>
          <w:ilvl w:val="0"/>
          <w:numId w:val="15"/>
        </w:numPr>
      </w:pPr>
      <w:r>
        <w:t xml:space="preserve">In the online application, find data for </w:t>
      </w:r>
      <w:r w:rsidR="004B32FA">
        <w:t xml:space="preserve">the temperature trend </w:t>
      </w:r>
      <w:r>
        <w:t>in Mexico</w:t>
      </w:r>
      <w:r w:rsidR="004B32FA">
        <w:t xml:space="preserve"> from 1900 to 2010 by</w:t>
      </w:r>
      <w:r>
        <w:t xml:space="preserve"> entering “MEX” into the Country Code field, and</w:t>
      </w:r>
      <w:r w:rsidR="004B32FA">
        <w:t xml:space="preserve"> changing the “from Year” and “to Year” fields t</w:t>
      </w:r>
      <w:r w:rsidR="000D39AF">
        <w:t xml:space="preserve">o 1900 and 2010, respectively. </w:t>
      </w:r>
    </w:p>
    <w:p w14:paraId="01B9E104" w14:textId="77777777" w:rsidR="00BB5CEC" w:rsidRDefault="00BB5CEC" w:rsidP="00BB5CEC">
      <w:pPr>
        <w:pStyle w:val="ListParagraph"/>
      </w:pPr>
    </w:p>
    <w:p w14:paraId="1230523E" w14:textId="24D10502" w:rsidR="00BB5CEC" w:rsidRDefault="000D39AF" w:rsidP="00BB5CEC">
      <w:pPr>
        <w:pStyle w:val="ListParagraph"/>
        <w:numPr>
          <w:ilvl w:val="0"/>
          <w:numId w:val="15"/>
        </w:numPr>
      </w:pPr>
      <w:r>
        <w:t xml:space="preserve">Click all three </w:t>
      </w:r>
      <w:proofErr w:type="gramStart"/>
      <w:r>
        <w:t>check-boxes</w:t>
      </w:r>
      <w:proofErr w:type="gramEnd"/>
      <w:r>
        <w:t xml:space="preserve"> to look at the trend, diagnostic plots, and model outputs for this data.</w:t>
      </w:r>
      <w:r w:rsidR="006A6C1A">
        <w:t xml:space="preserve"> </w:t>
      </w:r>
      <w:r w:rsidR="004168F7">
        <w:t>In particular, r</w:t>
      </w:r>
      <w:r w:rsidR="006A6C1A">
        <w:t>emind yourself why we can’t trust the standard errors and p-values from the model outp</w:t>
      </w:r>
      <w:r w:rsidR="004168F7">
        <w:t>ut using Ordinary Least Squares.</w:t>
      </w:r>
    </w:p>
    <w:p w14:paraId="7768E8E8" w14:textId="77777777" w:rsidR="004168F7" w:rsidRDefault="004168F7" w:rsidP="00BB5CEC"/>
    <w:p w14:paraId="5C95D0AD" w14:textId="20012368" w:rsidR="004168F7" w:rsidRDefault="004168F7" w:rsidP="004168F7">
      <w:pPr>
        <w:pStyle w:val="ListParagraph"/>
        <w:numPr>
          <w:ilvl w:val="0"/>
          <w:numId w:val="15"/>
        </w:numPr>
      </w:pPr>
      <w:r>
        <w:t>Click on the “GLS” tab above the trend graph</w:t>
      </w:r>
      <w:r w:rsidR="00BB5CEC">
        <w:t xml:space="preserve">. This will fit an </w:t>
      </w:r>
      <w:proofErr w:type="gramStart"/>
      <w:r w:rsidR="00BB5CEC">
        <w:t>AR(</w:t>
      </w:r>
      <w:proofErr w:type="gramEnd"/>
      <w:r w:rsidR="00BB5CEC">
        <w:t>1) model to the data using Generalized Least Squares. Compare the plot of the residuals, Auto-correlation Function, and model output from the GLS model to the OLS model.</w:t>
      </w:r>
    </w:p>
    <w:p w14:paraId="66B8014E" w14:textId="77777777" w:rsidR="00BB5CEC" w:rsidRDefault="00BB5CEC" w:rsidP="00BB5CEC"/>
    <w:p w14:paraId="5E0279A2" w14:textId="5CF805D1" w:rsidR="00BB5CEC" w:rsidRDefault="00BB5CEC" w:rsidP="004168F7">
      <w:pPr>
        <w:pStyle w:val="ListParagraph"/>
        <w:numPr>
          <w:ilvl w:val="0"/>
          <w:numId w:val="15"/>
        </w:numPr>
      </w:pPr>
      <w:r>
        <w:t>Use these comparisons to answer the questions below.</w:t>
      </w:r>
    </w:p>
    <w:p w14:paraId="32040EF9" w14:textId="77777777" w:rsidR="00BB5CEC" w:rsidRDefault="00BB5CEC" w:rsidP="00BB5CEC"/>
    <w:p w14:paraId="296D30DB" w14:textId="44A077A5" w:rsidR="00BB5CEC" w:rsidRPr="00BB5CEC" w:rsidRDefault="00BB5CEC" w:rsidP="00BB5CEC">
      <w:pPr>
        <w:rPr>
          <w:b/>
        </w:rPr>
      </w:pPr>
      <w:r w:rsidRPr="00BB5CEC">
        <w:rPr>
          <w:b/>
        </w:rPr>
        <w:t>Questions:</w:t>
      </w:r>
    </w:p>
    <w:p w14:paraId="5D3AAFBF" w14:textId="77777777" w:rsidR="00934E0B" w:rsidRDefault="00934E0B" w:rsidP="00934E0B">
      <w:pPr>
        <w:pStyle w:val="ListParagraph"/>
      </w:pPr>
    </w:p>
    <w:p w14:paraId="07E9734A" w14:textId="1172B4B6" w:rsidR="00BB5CEC" w:rsidRDefault="00BB5CEC" w:rsidP="00BB5CEC">
      <w:pPr>
        <w:pStyle w:val="ListParagraph"/>
        <w:numPr>
          <w:ilvl w:val="0"/>
          <w:numId w:val="16"/>
        </w:numPr>
      </w:pPr>
      <w:r>
        <w:t xml:space="preserve">Click on the “OLS” tab and examine the plot of residual autocorrelation. Does it resemble the pattern you would expect if an </w:t>
      </w:r>
      <w:proofErr w:type="gramStart"/>
      <w:r>
        <w:t>AR(</w:t>
      </w:r>
      <w:proofErr w:type="gramEnd"/>
      <w:r w:rsidRPr="00EB7771">
        <w:rPr>
          <w:i/>
        </w:rPr>
        <w:t>p</w:t>
      </w:r>
      <w:r>
        <w:t>) error structure was appropriate for the data?  Why or why not?</w:t>
      </w:r>
    </w:p>
    <w:p w14:paraId="09BC94C3" w14:textId="77777777" w:rsidR="00F12E7F" w:rsidRDefault="00F12E7F" w:rsidP="00F12E7F">
      <w:pPr>
        <w:pStyle w:val="ListParagraph"/>
      </w:pPr>
    </w:p>
    <w:p w14:paraId="6DCCF1BF" w14:textId="77777777" w:rsidR="001F3282" w:rsidRDefault="001F3282" w:rsidP="00F12E7F">
      <w:pPr>
        <w:pStyle w:val="ListParagraph"/>
      </w:pPr>
    </w:p>
    <w:p w14:paraId="788B6096" w14:textId="0B2E493E" w:rsidR="00BB5CEC" w:rsidRDefault="00BB5CEC" w:rsidP="00BB5CEC">
      <w:pPr>
        <w:pStyle w:val="ListParagraph"/>
        <w:numPr>
          <w:ilvl w:val="0"/>
          <w:numId w:val="16"/>
        </w:numPr>
      </w:pPr>
      <w:r>
        <w:t>Compare the estimates of temperature trends from the OLS and GLS analyses. How closely do the two estimates correspond?</w:t>
      </w:r>
    </w:p>
    <w:p w14:paraId="6A632B50" w14:textId="77777777" w:rsidR="001F3282" w:rsidRDefault="001F3282" w:rsidP="001F3282">
      <w:pPr>
        <w:pStyle w:val="ListParagraph"/>
      </w:pPr>
    </w:p>
    <w:p w14:paraId="49FAA9D4" w14:textId="77777777" w:rsidR="0049375E" w:rsidRDefault="0049375E" w:rsidP="0049375E"/>
    <w:p w14:paraId="5202A181" w14:textId="620863E2" w:rsidR="0049375E" w:rsidRDefault="0049375E" w:rsidP="00BB5CEC">
      <w:pPr>
        <w:pStyle w:val="ListParagraph"/>
        <w:numPr>
          <w:ilvl w:val="0"/>
          <w:numId w:val="16"/>
        </w:numPr>
      </w:pPr>
      <w:r>
        <w:t xml:space="preserve">Compare the standard errors and p-values for the OLS and GLS estimates of the trend. How do they differ? </w:t>
      </w:r>
    </w:p>
    <w:p w14:paraId="798190DF" w14:textId="77777777" w:rsidR="001F3282" w:rsidRDefault="001F3282" w:rsidP="001F3282">
      <w:pPr>
        <w:pStyle w:val="ListParagraph"/>
      </w:pPr>
    </w:p>
    <w:p w14:paraId="7BBE6FF5" w14:textId="77777777" w:rsidR="00F12E7F" w:rsidRDefault="00F12E7F" w:rsidP="00F12E7F"/>
    <w:p w14:paraId="22A3AA06" w14:textId="7F0F99C7" w:rsidR="00F12E7F" w:rsidRDefault="00EB7771" w:rsidP="00BB5CEC">
      <w:pPr>
        <w:pStyle w:val="ListParagraph"/>
        <w:numPr>
          <w:ilvl w:val="0"/>
          <w:numId w:val="16"/>
        </w:numPr>
      </w:pPr>
      <w:r>
        <w:t>Examine the residual</w:t>
      </w:r>
      <w:r w:rsidR="0049375E">
        <w:t>s plot</w:t>
      </w:r>
      <w:r>
        <w:t xml:space="preserve"> and the ACF plo</w:t>
      </w:r>
      <w:r w:rsidR="0049375E">
        <w:t>t for the GLS model. Do the residuals from the GLS analysis appear to be correlated? Based on what you see, should you trust statistical inference based on this model?</w:t>
      </w:r>
    </w:p>
    <w:p w14:paraId="7A9FC207" w14:textId="77777777" w:rsidR="001F3282" w:rsidRDefault="001F3282" w:rsidP="001F3282">
      <w:pPr>
        <w:pStyle w:val="ListParagraph"/>
      </w:pPr>
    </w:p>
    <w:p w14:paraId="148B767C" w14:textId="77777777" w:rsidR="0049375E" w:rsidRDefault="0049375E" w:rsidP="0049375E"/>
    <w:p w14:paraId="4423B4C0" w14:textId="1573F8F1" w:rsidR="0049375E" w:rsidRDefault="0049375E" w:rsidP="00BB5CEC">
      <w:pPr>
        <w:pStyle w:val="ListParagraph"/>
        <w:numPr>
          <w:ilvl w:val="0"/>
          <w:numId w:val="16"/>
        </w:numPr>
      </w:pPr>
      <w:r>
        <w:t>Compare the results of the GLS analysis to the results obtained by subsampling the data and adding a lag. How do the GLS results differ?</w:t>
      </w:r>
    </w:p>
    <w:p w14:paraId="5DE39308" w14:textId="77777777" w:rsidR="001F3282" w:rsidRDefault="001F3282" w:rsidP="001F3282">
      <w:pPr>
        <w:pStyle w:val="ListParagraph"/>
      </w:pPr>
    </w:p>
    <w:p w14:paraId="28D9F787" w14:textId="77777777" w:rsidR="0049375E" w:rsidRDefault="0049375E" w:rsidP="0049375E"/>
    <w:p w14:paraId="5DC58F19" w14:textId="3D1FF33C" w:rsidR="0049375E" w:rsidRDefault="0049375E" w:rsidP="00BB5CEC">
      <w:pPr>
        <w:pStyle w:val="ListParagraph"/>
        <w:numPr>
          <w:ilvl w:val="0"/>
          <w:numId w:val="16"/>
        </w:numPr>
      </w:pPr>
      <w:r>
        <w:t>What does the GLS analysis tell you about temperature trends in Mexico over the past century?</w:t>
      </w:r>
    </w:p>
    <w:p w14:paraId="7E8C89EC" w14:textId="77777777" w:rsidR="001F3282" w:rsidRDefault="001F3282" w:rsidP="001F3282">
      <w:pPr>
        <w:pStyle w:val="ListParagraph"/>
      </w:pPr>
    </w:p>
    <w:p w14:paraId="0DC323CF" w14:textId="77777777" w:rsidR="0049375E" w:rsidRDefault="0049375E" w:rsidP="0049375E"/>
    <w:p w14:paraId="673687EC" w14:textId="55D06F9C" w:rsidR="001F3282" w:rsidRDefault="0049375E" w:rsidP="00BB5CEC">
      <w:pPr>
        <w:pStyle w:val="ListParagraph"/>
        <w:numPr>
          <w:ilvl w:val="0"/>
          <w:numId w:val="16"/>
        </w:numPr>
      </w:pPr>
      <w:r>
        <w:t xml:space="preserve">Select the “Google </w:t>
      </w:r>
      <w:proofErr w:type="spellStart"/>
      <w:r>
        <w:t>ngrams</w:t>
      </w:r>
      <w:proofErr w:type="spellEnd"/>
      <w:r>
        <w:t xml:space="preserve">” dataset from the dropdown menu and search for a term that you want to track over time (your choice). Try and find some trend data that would clearly not be appropriate for analysis using </w:t>
      </w:r>
      <w:r w:rsidR="001F3282">
        <w:t>OLS</w:t>
      </w:r>
      <w:r>
        <w:t xml:space="preserve">. Which search term did you use? What time-interval? </w:t>
      </w:r>
    </w:p>
    <w:p w14:paraId="709411C7" w14:textId="77777777" w:rsidR="001F3282" w:rsidRDefault="001F3282" w:rsidP="001F3282">
      <w:pPr>
        <w:pStyle w:val="ListParagraph"/>
      </w:pPr>
    </w:p>
    <w:p w14:paraId="2AD575D9" w14:textId="77777777" w:rsidR="001F3282" w:rsidRDefault="001F3282" w:rsidP="001F3282"/>
    <w:p w14:paraId="1D2204D4" w14:textId="38569CDF" w:rsidR="0049375E" w:rsidRPr="004B32FA" w:rsidRDefault="0049375E" w:rsidP="00BB5CEC">
      <w:pPr>
        <w:pStyle w:val="ListParagraph"/>
        <w:numPr>
          <w:ilvl w:val="0"/>
          <w:numId w:val="16"/>
        </w:numPr>
      </w:pPr>
      <w:r>
        <w:t>Why can’t you use OLS to make</w:t>
      </w:r>
      <w:r w:rsidR="001F3282">
        <w:t xml:space="preserve"> valid</w:t>
      </w:r>
      <w:r>
        <w:t xml:space="preserve"> inference about trends over time using this data?</w:t>
      </w:r>
      <w:r w:rsidR="001F3282">
        <w:t xml:space="preserve"> Does using GLS help matters? Why or why not?</w:t>
      </w:r>
    </w:p>
    <w:sectPr w:rsidR="0049375E" w:rsidRPr="004B32FA" w:rsidSect="00EC5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433"/>
    <w:multiLevelType w:val="hybridMultilevel"/>
    <w:tmpl w:val="073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1E94"/>
    <w:multiLevelType w:val="hybridMultilevel"/>
    <w:tmpl w:val="8028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06D63"/>
    <w:multiLevelType w:val="hybridMultilevel"/>
    <w:tmpl w:val="A296F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B7FB7"/>
    <w:multiLevelType w:val="hybridMultilevel"/>
    <w:tmpl w:val="CF023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3393A"/>
    <w:multiLevelType w:val="hybridMultilevel"/>
    <w:tmpl w:val="575A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B7638"/>
    <w:multiLevelType w:val="hybridMultilevel"/>
    <w:tmpl w:val="3B0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12867"/>
    <w:multiLevelType w:val="hybridMultilevel"/>
    <w:tmpl w:val="4702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91D06"/>
    <w:multiLevelType w:val="hybridMultilevel"/>
    <w:tmpl w:val="2E06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92D30"/>
    <w:multiLevelType w:val="hybridMultilevel"/>
    <w:tmpl w:val="14E0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97188"/>
    <w:multiLevelType w:val="hybridMultilevel"/>
    <w:tmpl w:val="D124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27993"/>
    <w:multiLevelType w:val="hybridMultilevel"/>
    <w:tmpl w:val="168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C6073"/>
    <w:multiLevelType w:val="hybridMultilevel"/>
    <w:tmpl w:val="C388F16C"/>
    <w:lvl w:ilvl="0" w:tplc="2C9E3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CB154E"/>
    <w:multiLevelType w:val="hybridMultilevel"/>
    <w:tmpl w:val="3B8C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D3A82"/>
    <w:multiLevelType w:val="hybridMultilevel"/>
    <w:tmpl w:val="90AC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A65DD"/>
    <w:multiLevelType w:val="hybridMultilevel"/>
    <w:tmpl w:val="345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6393A"/>
    <w:multiLevelType w:val="hybridMultilevel"/>
    <w:tmpl w:val="4664DF3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14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9"/>
  </w:num>
  <w:num w:numId="14">
    <w:abstractNumId w:val="10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D"/>
    <w:rsid w:val="000301F3"/>
    <w:rsid w:val="0008393D"/>
    <w:rsid w:val="000D39AF"/>
    <w:rsid w:val="00105444"/>
    <w:rsid w:val="00141D5E"/>
    <w:rsid w:val="00146A9E"/>
    <w:rsid w:val="00164AAA"/>
    <w:rsid w:val="001728CE"/>
    <w:rsid w:val="001D50D6"/>
    <w:rsid w:val="001E62D4"/>
    <w:rsid w:val="001F3282"/>
    <w:rsid w:val="00216E82"/>
    <w:rsid w:val="00222F2D"/>
    <w:rsid w:val="0023635A"/>
    <w:rsid w:val="002613E9"/>
    <w:rsid w:val="002A47C7"/>
    <w:rsid w:val="002A4FE9"/>
    <w:rsid w:val="002D6AA8"/>
    <w:rsid w:val="002F2188"/>
    <w:rsid w:val="00312EA3"/>
    <w:rsid w:val="003274BE"/>
    <w:rsid w:val="00351694"/>
    <w:rsid w:val="003E0639"/>
    <w:rsid w:val="003E47DC"/>
    <w:rsid w:val="003F075E"/>
    <w:rsid w:val="0040549D"/>
    <w:rsid w:val="004168F7"/>
    <w:rsid w:val="00420362"/>
    <w:rsid w:val="0043666B"/>
    <w:rsid w:val="0048607E"/>
    <w:rsid w:val="00487EE6"/>
    <w:rsid w:val="0049375E"/>
    <w:rsid w:val="004B2FD9"/>
    <w:rsid w:val="004B32FA"/>
    <w:rsid w:val="004B45A1"/>
    <w:rsid w:val="004F7108"/>
    <w:rsid w:val="005132F4"/>
    <w:rsid w:val="00513314"/>
    <w:rsid w:val="00533484"/>
    <w:rsid w:val="005502A3"/>
    <w:rsid w:val="0055702B"/>
    <w:rsid w:val="005962D5"/>
    <w:rsid w:val="005C58AC"/>
    <w:rsid w:val="00630592"/>
    <w:rsid w:val="006432EF"/>
    <w:rsid w:val="006A6C1A"/>
    <w:rsid w:val="00756C71"/>
    <w:rsid w:val="00763F3D"/>
    <w:rsid w:val="00800002"/>
    <w:rsid w:val="00801554"/>
    <w:rsid w:val="008231EE"/>
    <w:rsid w:val="008573C1"/>
    <w:rsid w:val="008D5DFE"/>
    <w:rsid w:val="00920254"/>
    <w:rsid w:val="00924E60"/>
    <w:rsid w:val="0093316A"/>
    <w:rsid w:val="00934E0B"/>
    <w:rsid w:val="009752B9"/>
    <w:rsid w:val="00976BA8"/>
    <w:rsid w:val="009A24F6"/>
    <w:rsid w:val="009D1B9D"/>
    <w:rsid w:val="009E0D4D"/>
    <w:rsid w:val="00A31824"/>
    <w:rsid w:val="00A34937"/>
    <w:rsid w:val="00A862E0"/>
    <w:rsid w:val="00A86407"/>
    <w:rsid w:val="00AA2A6A"/>
    <w:rsid w:val="00AA6BC5"/>
    <w:rsid w:val="00AE4E6C"/>
    <w:rsid w:val="00AF7C18"/>
    <w:rsid w:val="00B14489"/>
    <w:rsid w:val="00BB28F7"/>
    <w:rsid w:val="00BB5CEC"/>
    <w:rsid w:val="00BC713A"/>
    <w:rsid w:val="00BF6211"/>
    <w:rsid w:val="00C16BD8"/>
    <w:rsid w:val="00C43635"/>
    <w:rsid w:val="00C70AA3"/>
    <w:rsid w:val="00C9242C"/>
    <w:rsid w:val="00C957D6"/>
    <w:rsid w:val="00CA0B16"/>
    <w:rsid w:val="00CA53E8"/>
    <w:rsid w:val="00CA5AC7"/>
    <w:rsid w:val="00CB4D25"/>
    <w:rsid w:val="00CC2633"/>
    <w:rsid w:val="00CD2F16"/>
    <w:rsid w:val="00D21258"/>
    <w:rsid w:val="00D51AD2"/>
    <w:rsid w:val="00D66C78"/>
    <w:rsid w:val="00D87679"/>
    <w:rsid w:val="00E721EA"/>
    <w:rsid w:val="00E82D3B"/>
    <w:rsid w:val="00EB7771"/>
    <w:rsid w:val="00EB78E9"/>
    <w:rsid w:val="00EC566C"/>
    <w:rsid w:val="00EF4A37"/>
    <w:rsid w:val="00F12E7F"/>
    <w:rsid w:val="00F6530F"/>
    <w:rsid w:val="00F73F01"/>
    <w:rsid w:val="00FA2B3F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3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36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6E8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3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36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6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park.rstudio.com/statmos/mod1_regression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D32C6-3F60-FD40-84D6-2132BF59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6036</Characters>
  <Application>Microsoft Macintosh Word</Application>
  <DocSecurity>0</DocSecurity>
  <Lines>50</Lines>
  <Paragraphs>14</Paragraphs>
  <ScaleCrop>false</ScaleCrop>
  <Company>University of Washington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Breckheimer</dc:creator>
  <cp:keywords/>
  <dc:description/>
  <cp:lastModifiedBy>Ian Breckheimer</cp:lastModifiedBy>
  <cp:revision>2</cp:revision>
  <dcterms:created xsi:type="dcterms:W3CDTF">2014-04-27T21:29:00Z</dcterms:created>
  <dcterms:modified xsi:type="dcterms:W3CDTF">2014-04-27T21:29:00Z</dcterms:modified>
</cp:coreProperties>
</file>