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Engram AI Periodic Table</w:t>
      </w:r>
    </w:p>
    <w:p>
      <w:pPr>
        <w:jc w:val="center"/>
      </w:pPr>
      <w:r>
        <w:t>Interactive Competitive Matrix — Extended for GE Vernova ARC</w:t>
      </w:r>
    </w:p>
    <w:p/>
    <w:p>
      <w:r>
        <w:t>Updated: 2026-01-10</w:t>
      </w:r>
    </w:p>
    <w:p>
      <w:r>
        <w:t>Framework Attribution: Martin Keen's AI Periodic Table (IBM Master Inventor)</w:t>
      </w:r>
    </w:p>
    <w:p>
      <w:r>
        <w:br w:type="page"/>
      </w:r>
    </w:p>
    <w:p>
      <w:pPr>
        <w:pStyle w:val="Heading1"/>
      </w:pPr>
      <w:r>
        <w:t>Table of Contents</w:t>
      </w:r>
    </w:p>
    <w:p>
      <w:r>
        <w:t>See document navigation for complete chapter listing.</w:t>
      </w:r>
    </w:p>
    <w:p>
      <w:r>
        <w:br w:type="page"/>
      </w:r>
    </w:p>
    <w:p>
      <w:pPr>
        <w:pStyle w:val="Heading1"/>
      </w:pPr>
      <w:r>
        <w:t>Executive Summary</w:t>
      </w:r>
    </w:p>
    <w:p>
      <w:r>
        <w:rPr>
          <w:b/>
        </w:rPr>
        <w:t>Competitive Position:</w:t>
        <w:br/>
        <w:br/>
      </w:r>
      <w:r>
        <w:t>• Strong: 14 elements</w:t>
        <w:br/>
      </w:r>
      <w:r>
        <w:t>• Unique Differentiators: 3 elements</w:t>
        <w:br/>
      </w:r>
      <w:r>
        <w:t>• Emerging: 2 elements</w:t>
        <w:br/>
      </w:r>
      <w:r>
        <w:t>• Gaps: 3 elements</w:t>
        <w:br/>
        <w:br/>
      </w:r>
      <w:r>
        <w:t>Engram demonstrates Strong implementation in 80% of AI Periodic Table elements. The Context Series (Ea, Kv, Gk) represents the core industrial differentiator for GE Vernova.</w:t>
      </w:r>
    </w:p>
    <w:p>
      <w:r>
        <w:br w:type="page"/>
      </w:r>
    </w:p>
    <w:p>
      <w:pPr>
        <w:pStyle w:val="Heading1"/>
      </w:pPr>
      <w:r>
        <w:t>Legend</w:t>
      </w:r>
    </w:p>
    <w:p>
      <w:r>
        <w:rPr>
          <w:b/>
        </w:rPr>
        <w:t xml:space="preserve">STRONG: </w:t>
      </w:r>
      <w:r>
        <w:t>Strong implementation</w:t>
      </w:r>
    </w:p>
    <w:p>
      <w:r>
        <w:rPr>
          <w:b/>
        </w:rPr>
        <w:t xml:space="preserve">EMERGING: </w:t>
      </w:r>
      <w:r>
        <w:t>Emerging capability</w:t>
      </w:r>
    </w:p>
    <w:p>
      <w:r>
        <w:rPr>
          <w:b/>
        </w:rPr>
        <w:t xml:space="preserve">GAP: </w:t>
      </w:r>
      <w:r>
        <w:t>Gap requiring attention</w:t>
      </w:r>
    </w:p>
    <w:p>
      <w:r>
        <w:rPr>
          <w:b/>
        </w:rPr>
        <w:t xml:space="preserve">UNIQUE: </w:t>
      </w:r>
      <w:r>
        <w:t>Unique differentiator</w:t>
      </w:r>
    </w:p>
    <w:p>
      <w:r>
        <w:br w:type="page"/>
      </w:r>
    </w:p>
    <w:p>
      <w:pPr>
        <w:pStyle w:val="Heading1"/>
      </w:pPr>
      <w:r>
        <w:t>Part I: Main Grid Elements</w:t>
      </w:r>
    </w:p>
    <w:p>
      <w:r>
        <w:t>The main grid consists of elements organized by row (capability tier) and column (functional category). This mirrors the structure of the periodic table, where position indicates properties and relationships.</w:t>
      </w:r>
    </w:p>
    <w:p>
      <w:r>
        <w:br w:type="page"/>
      </w:r>
    </w:p>
    <w:p>
      <w:pPr>
        <w:pStyle w:val="Heading1"/>
      </w:pPr>
      <w:r>
        <w:t>Chapter 1: [Pr] Prompts</w:t>
      </w:r>
    </w:p>
    <w:p>
      <w:r>
        <w:rPr>
          <w:b/>
        </w:rPr>
        <w:t>Quick Reference</w:t>
        <w:br/>
      </w:r>
      <w:r>
        <w:rPr>
          <w:b/>
        </w:rPr>
        <w:t xml:space="preserve">Symbol: </w:t>
      </w:r>
      <w:r>
        <w:t>Pr</w:t>
        <w:br/>
      </w:r>
      <w:r>
        <w:rPr>
          <w:b/>
        </w:rPr>
        <w:t xml:space="preserve">Classification: </w:t>
      </w:r>
      <w:r>
        <w:t>Primitive</w:t>
        <w:br/>
      </w:r>
      <w:r>
        <w:rPr>
          <w:b/>
        </w:rPr>
        <w:t xml:space="preserve">Status: </w:t>
      </w:r>
      <w:r>
        <w:t>STRONG</w:t>
        <w:br/>
      </w:r>
      <w:r>
        <w:rPr>
          <w:b/>
        </w:rPr>
        <w:t xml:space="preserve">Component: </w:t>
      </w:r>
      <w:r>
        <w:t>Agent System Prompts</w:t>
        <w:br/>
      </w:r>
      <w:r>
        <w:rPr>
          <w:b/>
        </w:rPr>
        <w:t xml:space="preserve">Grid Position: </w:t>
      </w:r>
      <w:r>
        <w:t>R1/C1</w:t>
        <w:br/>
      </w:r>
    </w:p>
    <w:p/>
    <w:p>
      <w:pPr>
        <w:pStyle w:val="Heading2"/>
      </w:pPr>
      <w:r>
        <w:t>Definition</w:t>
      </w:r>
    </w:p>
    <w:p>
      <w:r>
        <w:t>Structured instructions that define agent behavior, personality, and decision-making frameworks. System prompts establish the cognitive boundaries and operational parameters for AI agents.</w:t>
      </w:r>
    </w:p>
    <w:p>
      <w:pPr>
        <w:pStyle w:val="Heading2"/>
      </w:pPr>
      <w:r>
        <w:t>Industrial Value</w:t>
      </w:r>
    </w:p>
    <w:p>
      <w:r>
        <w:t>Enables consistent, predictable agent behavior across safety-critical industrial systems. Prompts encode domain expertise and safety protocols directly into agent reasoning.</w:t>
      </w:r>
    </w:p>
    <w:p>
      <w:pPr>
        <w:pStyle w:val="Heading2"/>
      </w:pPr>
      <w:r>
        <w:t>Reactivity &amp; Bonds</w:t>
      </w:r>
    </w:p>
    <w:p>
      <w:r>
        <w:t>Prompts serve as the foundation for all agent interactions. They define the initial state and behavioral constraints.</w:t>
      </w:r>
    </w:p>
    <w:p>
      <w:r>
        <w:rPr>
          <w:b/>
        </w:rPr>
        <w:t xml:space="preserve">Bonds with: </w:t>
      </w:r>
      <w:r>
        <w:t>Ag, Lg, Gr</w:t>
      </w:r>
    </w:p>
    <w:p>
      <w:r>
        <w:br w:type="page"/>
      </w:r>
    </w:p>
    <w:p>
      <w:pPr>
        <w:pStyle w:val="Heading1"/>
      </w:pPr>
      <w:r>
        <w:t>Chapter 2: [Em] Embeddings</w:t>
      </w:r>
    </w:p>
    <w:p>
      <w:r>
        <w:rPr>
          <w:b/>
        </w:rPr>
        <w:t>Quick Reference</w:t>
        <w:br/>
      </w:r>
      <w:r>
        <w:rPr>
          <w:b/>
        </w:rPr>
        <w:t xml:space="preserve">Symbol: </w:t>
      </w:r>
      <w:r>
        <w:t>Em</w:t>
        <w:br/>
      </w:r>
      <w:r>
        <w:rPr>
          <w:b/>
        </w:rPr>
        <w:t xml:space="preserve">Classification: </w:t>
      </w:r>
      <w:r>
        <w:t>Primitive</w:t>
        <w:br/>
      </w:r>
      <w:r>
        <w:rPr>
          <w:b/>
        </w:rPr>
        <w:t xml:space="preserve">Status: </w:t>
      </w:r>
      <w:r>
        <w:t>STRONG</w:t>
        <w:br/>
      </w:r>
      <w:r>
        <w:rPr>
          <w:b/>
        </w:rPr>
        <w:t xml:space="preserve">Component: </w:t>
      </w:r>
      <w:r>
        <w:t>Zep Embedding Layer</w:t>
        <w:br/>
      </w:r>
      <w:r>
        <w:rPr>
          <w:b/>
        </w:rPr>
        <w:t xml:space="preserve">Grid Position: </w:t>
      </w:r>
      <w:r>
        <w:t>R1/C2</w:t>
        <w:br/>
      </w:r>
    </w:p>
    <w:p/>
    <w:p>
      <w:pPr>
        <w:pStyle w:val="Heading2"/>
      </w:pPr>
      <w:r>
        <w:t>Definition</w:t>
      </w:r>
    </w:p>
    <w:p>
      <w:r>
        <w:t>Dense vector representations that encode semantic meaning of text, enabling similarity search and semantic understanding. The embedding layer transforms unstructured text into numerical vectors that capture semantic relationships.</w:t>
      </w:r>
    </w:p>
    <w:p>
      <w:pPr>
        <w:pStyle w:val="Heading2"/>
      </w:pPr>
      <w:r>
        <w:t>Industrial Value</w:t>
      </w:r>
    </w:p>
    <w:p>
      <w:r>
        <w:t>Allows ingestion of 50+ years of legacy engineering documentation into searchable vector space. Critical for matching historical maintenance patterns with current operational anomalies.</w:t>
      </w:r>
    </w:p>
    <w:p>
      <w:pPr>
        <w:pStyle w:val="Heading2"/>
      </w:pPr>
      <w:r>
        <w:t>Reactivity &amp; Bonds</w:t>
      </w:r>
    </w:p>
    <w:p>
      <w:r>
        <w:t>Embeddings enable vector search (Vx) and RAG (Rg) operations. They are the foundation of semantic retrieval.</w:t>
      </w:r>
    </w:p>
    <w:p>
      <w:r>
        <w:rPr>
          <w:b/>
        </w:rPr>
        <w:t xml:space="preserve">Bonds with: </w:t>
      </w:r>
      <w:r>
        <w:t>Vx, Rg, Kv</w:t>
      </w:r>
    </w:p>
    <w:p>
      <w:r>
        <w:br w:type="page"/>
      </w:r>
    </w:p>
    <w:p>
      <w:pPr>
        <w:pStyle w:val="Heading1"/>
      </w:pPr>
      <w:r>
        <w:t>Chapter 3: [Lg] LLM (Large Language Model)</w:t>
      </w:r>
    </w:p>
    <w:p>
      <w:r>
        <w:rPr>
          <w:b/>
        </w:rPr>
        <w:t>Quick Reference</w:t>
        <w:br/>
      </w:r>
      <w:r>
        <w:rPr>
          <w:b/>
        </w:rPr>
        <w:t xml:space="preserve">Symbol: </w:t>
      </w:r>
      <w:r>
        <w:t>Lg</w:t>
        <w:br/>
      </w:r>
      <w:r>
        <w:rPr>
          <w:b/>
        </w:rPr>
        <w:t xml:space="preserve">Classification: </w:t>
      </w:r>
      <w:r>
        <w:t>Primitive</w:t>
        <w:br/>
      </w:r>
      <w:r>
        <w:rPr>
          <w:b/>
        </w:rPr>
        <w:t xml:space="preserve">Status: </w:t>
      </w:r>
      <w:r>
        <w:t>STRONG</w:t>
        <w:br/>
      </w:r>
      <w:r>
        <w:rPr>
          <w:b/>
        </w:rPr>
        <w:t xml:space="preserve">Component: </w:t>
      </w:r>
      <w:r>
        <w:t>Multi-model Orchestration</w:t>
        <w:br/>
      </w:r>
      <w:r>
        <w:rPr>
          <w:b/>
        </w:rPr>
        <w:t xml:space="preserve">Grid Position: </w:t>
      </w:r>
      <w:r>
        <w:t>R1/C5</w:t>
        <w:br/>
      </w:r>
    </w:p>
    <w:p/>
    <w:p>
      <w:pPr>
        <w:pStyle w:val="Heading2"/>
      </w:pPr>
      <w:r>
        <w:t>Definition</w:t>
      </w:r>
    </w:p>
    <w:p>
      <w:r>
        <w:t>Foundation language models that generate coherent text and execute reasoning tasks. Multi-model orchestration allows dynamic selection of optimal models based on task requirements.</w:t>
      </w:r>
    </w:p>
    <w:p>
      <w:pPr>
        <w:pStyle w:val="Heading2"/>
      </w:pPr>
      <w:r>
        <w:t>Industrial Value</w:t>
      </w:r>
    </w:p>
    <w:p>
      <w:r>
        <w:t>Provides the core reasoning capability for complex engineering analysis. Multi-model approach ensures both speed (smaller models) and accuracy (larger models) based on criticality.</w:t>
      </w:r>
    </w:p>
    <w:p>
      <w:pPr>
        <w:pStyle w:val="Heading2"/>
      </w:pPr>
      <w:r>
        <w:t>Reactivity &amp; Bonds</w:t>
      </w:r>
    </w:p>
    <w:p>
      <w:r>
        <w:t>LLMs consume prompts (Pr) and context from RAG (Rg) to generate outputs. They are the 'engine' of the AI system.</w:t>
      </w:r>
    </w:p>
    <w:p>
      <w:r>
        <w:rPr>
          <w:b/>
        </w:rPr>
        <w:t xml:space="preserve">Bonds with: </w:t>
      </w:r>
      <w:r>
        <w:t>Pr, Rg, Ag, Th</w:t>
      </w:r>
    </w:p>
    <w:p>
      <w:r>
        <w:br w:type="page"/>
      </w:r>
    </w:p>
    <w:p>
      <w:pPr>
        <w:pStyle w:val="Heading1"/>
      </w:pPr>
      <w:r>
        <w:t>Chapter 4: [Fc] Function Call</w:t>
      </w:r>
    </w:p>
    <w:p>
      <w:r>
        <w:rPr>
          <w:b/>
        </w:rPr>
        <w:t>Quick Reference</w:t>
        <w:br/>
      </w:r>
      <w:r>
        <w:rPr>
          <w:b/>
        </w:rPr>
        <w:t xml:space="preserve">Symbol: </w:t>
      </w:r>
      <w:r>
        <w:t>Fc</w:t>
        <w:br/>
      </w:r>
      <w:r>
        <w:rPr>
          <w:b/>
        </w:rPr>
        <w:t xml:space="preserve">Classification: </w:t>
      </w:r>
      <w:r>
        <w:t>Structural Compound</w:t>
        <w:br/>
      </w:r>
      <w:r>
        <w:rPr>
          <w:b/>
        </w:rPr>
        <w:t xml:space="preserve">Status: </w:t>
      </w:r>
      <w:r>
        <w:t>STRONG</w:t>
        <w:br/>
      </w:r>
      <w:r>
        <w:rPr>
          <w:b/>
        </w:rPr>
        <w:t xml:space="preserve">Component: </w:t>
      </w:r>
      <w:r>
        <w:t>MCP Tools (40+)</w:t>
        <w:br/>
      </w:r>
      <w:r>
        <w:rPr>
          <w:b/>
        </w:rPr>
        <w:t xml:space="preserve">Grid Position: </w:t>
      </w:r>
      <w:r>
        <w:t>R2/C1</w:t>
        <w:br/>
      </w:r>
    </w:p>
    <w:p/>
    <w:p>
      <w:pPr>
        <w:pStyle w:val="Heading2"/>
      </w:pPr>
      <w:r>
        <w:t>Definition</w:t>
      </w:r>
    </w:p>
    <w:p>
      <w:r>
        <w:t>The mechanism by which agents invoke external tools and APIs to perform actions beyond text generation. Function calling enables agents to interact with real-world systems.</w:t>
      </w:r>
    </w:p>
    <w:p>
      <w:pPr>
        <w:pStyle w:val="Heading2"/>
      </w:pPr>
      <w:r>
        <w:t>Industrial Value</w:t>
      </w:r>
    </w:p>
    <w:p>
      <w:r>
        <w:t>Allows agents to query databases, control machinery, retrieve sensor data, and execute maintenance procedures. MCP (Model Context Protocol) tools provide standardized interfaces.</w:t>
      </w:r>
    </w:p>
    <w:p>
      <w:pPr>
        <w:pStyle w:val="Heading2"/>
      </w:pPr>
      <w:r>
        <w:t>Reactivity &amp; Bonds</w:t>
      </w:r>
    </w:p>
    <w:p>
      <w:r>
        <w:t>Function calls require Memory Provenance (Mp) for safety-critical operations. They are orchestrated by agents (Ag) within workflows (Fw).</w:t>
      </w:r>
    </w:p>
    <w:p>
      <w:r>
        <w:rPr>
          <w:b/>
        </w:rPr>
        <w:t xml:space="preserve">Bonds with: </w:t>
      </w:r>
      <w:r>
        <w:t>Ag, Mp, Fw</w:t>
      </w:r>
    </w:p>
    <w:p>
      <w:r>
        <w:br w:type="page"/>
      </w:r>
    </w:p>
    <w:p>
      <w:pPr>
        <w:pStyle w:val="Heading1"/>
      </w:pPr>
      <w:r>
        <w:t>Chapter 5: [Vx] Vector</w:t>
      </w:r>
    </w:p>
    <w:p>
      <w:r>
        <w:rPr>
          <w:b/>
        </w:rPr>
        <w:t>Quick Reference</w:t>
        <w:br/>
      </w:r>
      <w:r>
        <w:rPr>
          <w:b/>
        </w:rPr>
        <w:t xml:space="preserve">Symbol: </w:t>
      </w:r>
      <w:r>
        <w:t>Vx</w:t>
        <w:br/>
      </w:r>
      <w:r>
        <w:rPr>
          <w:b/>
        </w:rPr>
        <w:t xml:space="preserve">Classification: </w:t>
      </w:r>
      <w:r>
        <w:t>Structural Compound</w:t>
        <w:br/>
      </w:r>
      <w:r>
        <w:rPr>
          <w:b/>
        </w:rPr>
        <w:t xml:space="preserve">Status: </w:t>
      </w:r>
      <w:r>
        <w:t>STRONG</w:t>
        <w:br/>
      </w:r>
      <w:r>
        <w:rPr>
          <w:b/>
        </w:rPr>
        <w:t xml:space="preserve">Component: </w:t>
      </w:r>
      <w:r>
        <w:t>Zep Tri-Search</w:t>
        <w:br/>
      </w:r>
      <w:r>
        <w:rPr>
          <w:b/>
        </w:rPr>
        <w:t xml:space="preserve">Grid Position: </w:t>
      </w:r>
      <w:r>
        <w:t>R2/C2</w:t>
        <w:br/>
      </w:r>
    </w:p>
    <w:p/>
    <w:p>
      <w:pPr>
        <w:pStyle w:val="Heading2"/>
      </w:pPr>
      <w:r>
        <w:t>Definition</w:t>
      </w:r>
    </w:p>
    <w:p>
      <w:r>
        <w:t>Vector similarity search using embeddings to find semantically related content. Zep Tri-Search combines dense vectors, sparse keywords, and metadata filters for precision.</w:t>
      </w:r>
    </w:p>
    <w:p>
      <w:pPr>
        <w:pStyle w:val="Heading2"/>
      </w:pPr>
      <w:r>
        <w:t>Industrial Value</w:t>
      </w:r>
    </w:p>
    <w:p>
      <w:r>
        <w:t>Enables real-time retrieval of relevant historical maintenance logs, schematics, and protocols. Tri-search approach provides high precision for engineering documentation.</w:t>
      </w:r>
    </w:p>
    <w:p>
      <w:pPr>
        <w:pStyle w:val="Heading2"/>
      </w:pPr>
      <w:r>
        <w:t>Reactivity &amp; Bonds</w:t>
      </w:r>
    </w:p>
    <w:p>
      <w:r>
        <w:t>Vector search is enhanced by Keyword Vector (Kv) for precision. It feeds into RAG (Rg) for context assembly.</w:t>
      </w:r>
    </w:p>
    <w:p>
      <w:r>
        <w:rPr>
          <w:b/>
        </w:rPr>
        <w:t xml:space="preserve">Bonds with: </w:t>
      </w:r>
      <w:r>
        <w:t>Em, Rg, Kv</w:t>
      </w:r>
    </w:p>
    <w:p>
      <w:r>
        <w:br w:type="page"/>
      </w:r>
    </w:p>
    <w:p>
      <w:pPr>
        <w:pStyle w:val="Heading1"/>
      </w:pPr>
      <w:r>
        <w:t>Chapter 6: [Rg] RAG (Retrieval-Augmented Generation)</w:t>
      </w:r>
    </w:p>
    <w:p>
      <w:r>
        <w:rPr>
          <w:b/>
        </w:rPr>
        <w:t>Quick Reference</w:t>
        <w:br/>
      </w:r>
      <w:r>
        <w:rPr>
          <w:b/>
        </w:rPr>
        <w:t xml:space="preserve">Symbol: </w:t>
      </w:r>
      <w:r>
        <w:t>Rg</w:t>
        <w:br/>
      </w:r>
      <w:r>
        <w:rPr>
          <w:b/>
        </w:rPr>
        <w:t xml:space="preserve">Classification: </w:t>
      </w:r>
      <w:r>
        <w:t>Structural Compound</w:t>
        <w:br/>
      </w:r>
      <w:r>
        <w:rPr>
          <w:b/>
        </w:rPr>
        <w:t xml:space="preserve">Status: </w:t>
      </w:r>
      <w:r>
        <w:t>STRONG</w:t>
        <w:br/>
      </w:r>
      <w:r>
        <w:rPr>
          <w:b/>
        </w:rPr>
        <w:t xml:space="preserve">Component: </w:t>
      </w:r>
      <w:r>
        <w:t>Context Assembly</w:t>
        <w:br/>
      </w:r>
      <w:r>
        <w:rPr>
          <w:b/>
        </w:rPr>
        <w:t xml:space="preserve">Grid Position: </w:t>
      </w:r>
      <w:r>
        <w:t>R2/C3</w:t>
        <w:br/>
      </w:r>
    </w:p>
    <w:p/>
    <w:p>
      <w:pPr>
        <w:pStyle w:val="Heading2"/>
      </w:pPr>
      <w:r>
        <w:t>Definition</w:t>
      </w:r>
    </w:p>
    <w:p>
      <w:r>
        <w:t>The process of retrieving relevant context from memory and injecting it into LLM prompts to ground responses in factual information. Context assembly ensures responses are based on actual data rather than training knowledge alone.</w:t>
      </w:r>
    </w:p>
    <w:p>
      <w:pPr>
        <w:pStyle w:val="Heading2"/>
      </w:pPr>
      <w:r>
        <w:t>Industrial Value</w:t>
      </w:r>
    </w:p>
    <w:p>
      <w:r>
        <w:t>Critical for maintaining accuracy in industrial systems. RAG ensures recommendations are based on actual maintenance records, sensor data, and engineering manuals rather than generic training data.</w:t>
      </w:r>
    </w:p>
    <w:p>
      <w:pPr>
        <w:pStyle w:val="Heading2"/>
      </w:pPr>
      <w:r>
        <w:t>Reactivity &amp; Bonds</w:t>
      </w:r>
    </w:p>
    <w:p>
      <w:r>
        <w:t>RAG depends on Vector (Vx) and Embeddings (Em) for retrieval. It is enhanced by Keyword Vector (Kv) for precision.</w:t>
      </w:r>
    </w:p>
    <w:p>
      <w:r>
        <w:rPr>
          <w:b/>
        </w:rPr>
        <w:t xml:space="preserve">Bonds with: </w:t>
      </w:r>
      <w:r>
        <w:t>Vx, Em, Kv, Lg</w:t>
      </w:r>
    </w:p>
    <w:p>
      <w:r>
        <w:br w:type="page"/>
      </w:r>
    </w:p>
    <w:p>
      <w:pPr>
        <w:pStyle w:val="Heading1"/>
      </w:pPr>
      <w:r>
        <w:t>Chapter 7: [Gr] Guardrails</w:t>
      </w:r>
    </w:p>
    <w:p>
      <w:r>
        <w:rPr>
          <w:b/>
        </w:rPr>
        <w:t>Quick Reference</w:t>
        <w:br/>
      </w:r>
      <w:r>
        <w:rPr>
          <w:b/>
        </w:rPr>
        <w:t xml:space="preserve">Symbol: </w:t>
      </w:r>
      <w:r>
        <w:t>Gr</w:t>
        <w:br/>
      </w:r>
      <w:r>
        <w:rPr>
          <w:b/>
        </w:rPr>
        <w:t xml:space="preserve">Classification: </w:t>
      </w:r>
      <w:r>
        <w:t>Safety / Isotope</w:t>
        <w:br/>
      </w:r>
      <w:r>
        <w:rPr>
          <w:b/>
        </w:rPr>
        <w:t xml:space="preserve">Status: </w:t>
      </w:r>
      <w:r>
        <w:t>STRONG</w:t>
        <w:br/>
      </w:r>
      <w:r>
        <w:rPr>
          <w:b/>
        </w:rPr>
        <w:t xml:space="preserve">Component: </w:t>
      </w:r>
      <w:r>
        <w:t>Azure Entra ID</w:t>
        <w:br/>
      </w:r>
      <w:r>
        <w:rPr>
          <w:b/>
        </w:rPr>
        <w:t xml:space="preserve">Grid Position: </w:t>
      </w:r>
      <w:r>
        <w:t>R2/C4</w:t>
        <w:br/>
      </w:r>
    </w:p>
    <w:p/>
    <w:p>
      <w:pPr>
        <w:pStyle w:val="Heading2"/>
      </w:pPr>
      <w:r>
        <w:t>Definition</w:t>
      </w:r>
    </w:p>
    <w:p>
      <w:r>
        <w:t>Safety mechanisms that prevent unsafe actions and ensure compliance with security policies. Azure Entra ID integration provides enterprise authentication and authorization.</w:t>
      </w:r>
    </w:p>
    <w:p>
      <w:pPr>
        <w:pStyle w:val="Heading2"/>
      </w:pPr>
      <w:r>
        <w:t>Industrial Value</w:t>
      </w:r>
    </w:p>
    <w:p>
      <w:r>
        <w:t>Non-negotiable requirement for industrial deployment. Guardrails prevent unauthorized actions and ensure all operations are auditable and compliant with safety regulations.</w:t>
      </w:r>
    </w:p>
    <w:p>
      <w:pPr>
        <w:pStyle w:val="Heading2"/>
      </w:pPr>
      <w:r>
        <w:t>Reactivity &amp; Bonds</w:t>
      </w:r>
    </w:p>
    <w:p>
      <w:r>
        <w:t>Guardrails stabilize Emergent AI (Ea) by preventing unsafe behaviors. They are prerequisite for Function Call (Fc) operations.</w:t>
      </w:r>
    </w:p>
    <w:p>
      <w:r>
        <w:rPr>
          <w:b/>
        </w:rPr>
        <w:t xml:space="preserve">Bonds with: </w:t>
      </w:r>
      <w:r>
        <w:t>Ag, Ea, Mp</w:t>
      </w:r>
    </w:p>
    <w:p>
      <w:r>
        <w:br w:type="page"/>
      </w:r>
    </w:p>
    <w:p>
      <w:pPr>
        <w:pStyle w:val="Heading1"/>
      </w:pPr>
      <w:r>
        <w:t>Chapter 8: [Mm] Multimodal</w:t>
      </w:r>
    </w:p>
    <w:p>
      <w:r>
        <w:rPr>
          <w:b/>
        </w:rPr>
        <w:t>Quick Reference</w:t>
        <w:br/>
      </w:r>
      <w:r>
        <w:rPr>
          <w:b/>
        </w:rPr>
        <w:t xml:space="preserve">Symbol: </w:t>
      </w:r>
      <w:r>
        <w:t>Mm</w:t>
        <w:br/>
      </w:r>
      <w:r>
        <w:rPr>
          <w:b/>
        </w:rPr>
        <w:t xml:space="preserve">Classification: </w:t>
      </w:r>
      <w:r>
        <w:t>Structural Compound</w:t>
        <w:br/>
      </w:r>
      <w:r>
        <w:rPr>
          <w:b/>
        </w:rPr>
        <w:t xml:space="preserve">Status: </w:t>
      </w:r>
      <w:r>
        <w:t>STRONG</w:t>
        <w:br/>
      </w:r>
      <w:r>
        <w:rPr>
          <w:b/>
        </w:rPr>
        <w:t xml:space="preserve">Component: </w:t>
      </w:r>
      <w:r>
        <w:t>Imagen + VoiceLive</w:t>
        <w:br/>
      </w:r>
      <w:r>
        <w:rPr>
          <w:b/>
        </w:rPr>
        <w:t xml:space="preserve">Grid Position: </w:t>
      </w:r>
      <w:r>
        <w:t>R2/C5</w:t>
        <w:br/>
      </w:r>
    </w:p>
    <w:p/>
    <w:p>
      <w:pPr>
        <w:pStyle w:val="Heading2"/>
      </w:pPr>
      <w:r>
        <w:t>Definition</w:t>
      </w:r>
    </w:p>
    <w:p>
      <w:r>
        <w:t>The capability to process and generate multiple media types including text, images, and audio. Imagen provides image generation, VoiceLive enables real-time voice interaction.</w:t>
      </w:r>
    </w:p>
    <w:p>
      <w:pPr>
        <w:pStyle w:val="Heading2"/>
      </w:pPr>
      <w:r>
        <w:t>Industrial Value</w:t>
      </w:r>
    </w:p>
    <w:p>
      <w:r>
        <w:t>Enables natural human-AI interaction through voice for field technicians, and visual documentation generation for maintenance procedures. Reduces cognitive load on operators.</w:t>
      </w:r>
    </w:p>
    <w:p>
      <w:pPr>
        <w:pStyle w:val="Heading2"/>
      </w:pPr>
      <w:r>
        <w:t>Reactivity &amp; Bonds</w:t>
      </w:r>
    </w:p>
    <w:p>
      <w:r>
        <w:t>Multimodal capabilities enhance Agent (Ag) interactions. Voice input feeds directly into agent reasoning pipelines.</w:t>
      </w:r>
    </w:p>
    <w:p>
      <w:r>
        <w:rPr>
          <w:b/>
        </w:rPr>
        <w:t xml:space="preserve">Bonds with: </w:t>
      </w:r>
      <w:r>
        <w:t>Ag, Lg</w:t>
      </w:r>
    </w:p>
    <w:p>
      <w:r>
        <w:br w:type="page"/>
      </w:r>
    </w:p>
    <w:p>
      <w:pPr>
        <w:pStyle w:val="Heading1"/>
      </w:pPr>
      <w:r>
        <w:t>Chapter 9: [Ag] Agent</w:t>
      </w:r>
    </w:p>
    <w:p>
      <w:r>
        <w:rPr>
          <w:b/>
        </w:rPr>
        <w:t>Quick Reference</w:t>
        <w:br/>
      </w:r>
      <w:r>
        <w:rPr>
          <w:b/>
        </w:rPr>
        <w:t xml:space="preserve">Symbol: </w:t>
      </w:r>
      <w:r>
        <w:t>Ag</w:t>
        <w:br/>
      </w:r>
      <w:r>
        <w:rPr>
          <w:b/>
        </w:rPr>
        <w:t xml:space="preserve">Classification: </w:t>
      </w:r>
      <w:r>
        <w:t>Behavioral Property</w:t>
        <w:br/>
      </w:r>
      <w:r>
        <w:rPr>
          <w:b/>
        </w:rPr>
        <w:t xml:space="preserve">Status: </w:t>
      </w:r>
      <w:r>
        <w:t>STRONG</w:t>
        <w:br/>
      </w:r>
      <w:r>
        <w:rPr>
          <w:b/>
        </w:rPr>
        <w:t xml:space="preserve">Component: </w:t>
      </w:r>
      <w:r>
        <w:t>Elena, Marcus, Sage</w:t>
        <w:br/>
      </w:r>
      <w:r>
        <w:rPr>
          <w:b/>
        </w:rPr>
        <w:t xml:space="preserve">Grid Position: </w:t>
      </w:r>
      <w:r>
        <w:t>R3/C1</w:t>
        <w:br/>
      </w:r>
    </w:p>
    <w:p/>
    <w:p>
      <w:pPr>
        <w:pStyle w:val="Heading2"/>
      </w:pPr>
      <w:r>
        <w:t>Definition</w:t>
      </w:r>
    </w:p>
    <w:p>
      <w:r>
        <w:t>Autonomous AI systems that can reason, plan, and execute tasks. Engram agents (Elena, Marcus, Sage) each have specialized roles and can delegate to one another.</w:t>
      </w:r>
    </w:p>
    <w:p>
      <w:pPr>
        <w:pStyle w:val="Heading2"/>
      </w:pPr>
      <w:r>
        <w:t>Industrial Value</w:t>
      </w:r>
    </w:p>
    <w:p>
      <w:r>
        <w:t>Enables autonomous monitoring and response to grid anomalies. Agents can coordinate complex maintenance procedures that require multiple steps and decisions.</w:t>
      </w:r>
    </w:p>
    <w:p>
      <w:pPr>
        <w:pStyle w:val="Heading2"/>
      </w:pPr>
      <w:r>
        <w:t>Reactivity &amp; Bonds</w:t>
      </w:r>
    </w:p>
    <w:p>
      <w:r>
        <w:t>Agents require Context Ecology (Ec) to function. They catalyze Emergent AI (Ea) when multiple agents interact.</w:t>
      </w:r>
    </w:p>
    <w:p>
      <w:r>
        <w:rPr>
          <w:b/>
        </w:rPr>
        <w:t xml:space="preserve">Bonds with: </w:t>
      </w:r>
      <w:r>
        <w:t>Ec, Ma, Ea, Fw</w:t>
      </w:r>
    </w:p>
    <w:p>
      <w:r>
        <w:br w:type="page"/>
      </w:r>
    </w:p>
    <w:p>
      <w:pPr>
        <w:pStyle w:val="Heading1"/>
      </w:pPr>
      <w:r>
        <w:t>Chapter 10: [Ft] Finetune</w:t>
      </w:r>
    </w:p>
    <w:p>
      <w:r>
        <w:rPr>
          <w:b/>
        </w:rPr>
        <w:t>Quick Reference</w:t>
        <w:br/>
      </w:r>
      <w:r>
        <w:rPr>
          <w:b/>
        </w:rPr>
        <w:t xml:space="preserve">Symbol: </w:t>
      </w:r>
      <w:r>
        <w:t>Ft</w:t>
        <w:br/>
      </w:r>
      <w:r>
        <w:rPr>
          <w:b/>
        </w:rPr>
        <w:t xml:space="preserve">Classification: </w:t>
      </w:r>
      <w:r>
        <w:t>Deployment Technique</w:t>
        <w:br/>
      </w:r>
      <w:r>
        <w:rPr>
          <w:b/>
        </w:rPr>
        <w:t xml:space="preserve">Status: </w:t>
      </w:r>
      <w:r>
        <w:t>GAP</w:t>
        <w:br/>
      </w:r>
      <w:r>
        <w:rPr>
          <w:b/>
        </w:rPr>
        <w:t xml:space="preserve">Component: </w:t>
      </w:r>
      <w:r>
        <w:t>Not implemented</w:t>
        <w:br/>
      </w:r>
      <w:r>
        <w:rPr>
          <w:b/>
        </w:rPr>
        <w:t xml:space="preserve">Grid Position: </w:t>
      </w:r>
      <w:r>
        <w:t>R3/C2</w:t>
        <w:br/>
      </w:r>
    </w:p>
    <w:p/>
    <w:p>
      <w:pPr>
        <w:pStyle w:val="Heading2"/>
      </w:pPr>
      <w:r>
        <w:t>Definition</w:t>
      </w:r>
    </w:p>
    <w:p>
      <w:r>
        <w:t>The process of training foundation models on domain-specific data to improve performance on specialized tasks. Currently not implemented in Engram.</w:t>
      </w:r>
    </w:p>
    <w:p>
      <w:pPr>
        <w:pStyle w:val="Heading2"/>
      </w:pPr>
      <w:r>
        <w:t>Industrial Value</w:t>
      </w:r>
    </w:p>
    <w:p>
      <w:r>
        <w:t>Could enable more precise responses for GE Vernova-specific terminology and procedures. However, current RAG approach provides similar benefits with less maintenance overhead.</w:t>
      </w:r>
    </w:p>
    <w:p>
      <w:pPr>
        <w:pStyle w:val="Heading2"/>
      </w:pPr>
      <w:r>
        <w:t>Reactivity &amp; Bonds</w:t>
      </w:r>
    </w:p>
    <w:p>
      <w:r>
        <w:t>Finetuning would modify LLM (Lg) behavior directly. Alternative approach uses RAG (Rg) for domain adaptation.</w:t>
      </w:r>
    </w:p>
    <w:p>
      <w:r>
        <w:rPr>
          <w:b/>
        </w:rPr>
        <w:t xml:space="preserve">Bonds with: </w:t>
      </w:r>
      <w:r>
        <w:t>Lg</w:t>
      </w:r>
    </w:p>
    <w:p>
      <w:r>
        <w:br w:type="page"/>
      </w:r>
    </w:p>
    <w:p>
      <w:pPr>
        <w:pStyle w:val="Heading1"/>
      </w:pPr>
      <w:r>
        <w:t>Chapter 11: [Fw] Framework</w:t>
      </w:r>
    </w:p>
    <w:p>
      <w:r>
        <w:rPr>
          <w:b/>
        </w:rPr>
        <w:t>Quick Reference</w:t>
        <w:br/>
      </w:r>
      <w:r>
        <w:rPr>
          <w:b/>
        </w:rPr>
        <w:t xml:space="preserve">Symbol: </w:t>
      </w:r>
      <w:r>
        <w:t>Fw</w:t>
        <w:br/>
      </w:r>
      <w:r>
        <w:rPr>
          <w:b/>
        </w:rPr>
        <w:t xml:space="preserve">Classification: </w:t>
      </w:r>
      <w:r>
        <w:t>Structural Compound</w:t>
        <w:br/>
      </w:r>
      <w:r>
        <w:rPr>
          <w:b/>
        </w:rPr>
        <w:t xml:space="preserve">Status: </w:t>
      </w:r>
      <w:r>
        <w:t>STRONG</w:t>
        <w:br/>
      </w:r>
      <w:r>
        <w:rPr>
          <w:b/>
        </w:rPr>
        <w:t xml:space="preserve">Component: </w:t>
      </w:r>
      <w:r>
        <w:t>Temporal Workflows</w:t>
        <w:br/>
      </w:r>
      <w:r>
        <w:rPr>
          <w:b/>
        </w:rPr>
        <w:t xml:space="preserve">Grid Position: </w:t>
      </w:r>
      <w:r>
        <w:t>R3/C3</w:t>
        <w:br/>
      </w:r>
    </w:p>
    <w:p/>
    <w:p>
      <w:pPr>
        <w:pStyle w:val="Heading2"/>
      </w:pPr>
      <w:r>
        <w:t>Definition</w:t>
      </w:r>
    </w:p>
    <w:p>
      <w:r>
        <w:t>Orchestration framework that manages complex, long-running workflows. Temporal provides durable execution, retries, and state management for distributed systems.</w:t>
      </w:r>
    </w:p>
    <w:p>
      <w:pPr>
        <w:pStyle w:val="Heading2"/>
      </w:pPr>
      <w:r>
        <w:t>Industrial Value</w:t>
      </w:r>
    </w:p>
    <w:p>
      <w:r>
        <w:t>Enables reliable execution of multi-step maintenance procedures that may take hours or days. Temporal ensures no step is lost even if systems restart.</w:t>
      </w:r>
    </w:p>
    <w:p>
      <w:pPr>
        <w:pStyle w:val="Heading2"/>
      </w:pPr>
      <w:r>
        <w:t>Reactivity &amp; Bonds</w:t>
      </w:r>
    </w:p>
    <w:p>
      <w:r>
        <w:t>Framework orchestrates Agent (Ag) execution and Function Calls (Fc). It provides the infrastructure for complex workflows.</w:t>
      </w:r>
    </w:p>
    <w:p>
      <w:r>
        <w:rPr>
          <w:b/>
        </w:rPr>
        <w:t xml:space="preserve">Bonds with: </w:t>
      </w:r>
      <w:r>
        <w:t>Ag, Fc</w:t>
      </w:r>
    </w:p>
    <w:p>
      <w:r>
        <w:br w:type="page"/>
      </w:r>
    </w:p>
    <w:p>
      <w:pPr>
        <w:pStyle w:val="Heading1"/>
      </w:pPr>
      <w:r>
        <w:t>Chapter 12: [Rt] Red-team</w:t>
      </w:r>
    </w:p>
    <w:p>
      <w:r>
        <w:rPr>
          <w:b/>
        </w:rPr>
        <w:t>Quick Reference</w:t>
        <w:br/>
      </w:r>
      <w:r>
        <w:rPr>
          <w:b/>
        </w:rPr>
        <w:t xml:space="preserve">Symbol: </w:t>
      </w:r>
      <w:r>
        <w:t>Rt</w:t>
        <w:br/>
      </w:r>
      <w:r>
        <w:rPr>
          <w:b/>
        </w:rPr>
        <w:t xml:space="preserve">Classification: </w:t>
      </w:r>
      <w:r>
        <w:t>Safety / Isotope</w:t>
        <w:br/>
      </w:r>
      <w:r>
        <w:rPr>
          <w:b/>
        </w:rPr>
        <w:t xml:space="preserve">Status: </w:t>
      </w:r>
      <w:r>
        <w:t>EMERGING</w:t>
        <w:br/>
      </w:r>
      <w:r>
        <w:rPr>
          <w:b/>
        </w:rPr>
        <w:t xml:space="preserve">Component: </w:t>
      </w:r>
      <w:r>
        <w:t>Basic validation</w:t>
        <w:br/>
      </w:r>
      <w:r>
        <w:rPr>
          <w:b/>
        </w:rPr>
        <w:t xml:space="preserve">Grid Position: </w:t>
      </w:r>
      <w:r>
        <w:t>R3/C4</w:t>
        <w:br/>
      </w:r>
    </w:p>
    <w:p/>
    <w:p>
      <w:pPr>
        <w:pStyle w:val="Heading2"/>
      </w:pPr>
      <w:r>
        <w:t>Definition</w:t>
      </w:r>
    </w:p>
    <w:p>
      <w:r>
        <w:t>Security testing where adversarial agents attempt to break system safety mechanisms. Basic validation is in place but comprehensive red-teaming is emerging.</w:t>
      </w:r>
    </w:p>
    <w:p>
      <w:pPr>
        <w:pStyle w:val="Heading2"/>
      </w:pPr>
      <w:r>
        <w:t>Industrial Value</w:t>
      </w:r>
    </w:p>
    <w:p>
      <w:r>
        <w:t>Critical for identifying vulnerabilities before deployment in safety-critical infrastructure. Red-teaming ensures guardrails and provenance systems cannot be bypassed.</w:t>
      </w:r>
    </w:p>
    <w:p>
      <w:pPr>
        <w:pStyle w:val="Heading2"/>
      </w:pPr>
      <w:r>
        <w:t>Reactivity &amp; Bonds</w:t>
      </w:r>
    </w:p>
    <w:p>
      <w:r>
        <w:t>Red-teaming validates Guardrails (Gr) and Provenance (Mp) systems. It identifies gaps before production deployment.</w:t>
      </w:r>
    </w:p>
    <w:p>
      <w:r>
        <w:rPr>
          <w:b/>
        </w:rPr>
        <w:t xml:space="preserve">Bonds with: </w:t>
      </w:r>
      <w:r>
        <w:t>Gr, Mp</w:t>
      </w:r>
    </w:p>
    <w:p>
      <w:r>
        <w:br w:type="page"/>
      </w:r>
    </w:p>
    <w:p>
      <w:pPr>
        <w:pStyle w:val="Heading1"/>
      </w:pPr>
      <w:r>
        <w:t>Chapter 13: [Sm] Small</w:t>
      </w:r>
    </w:p>
    <w:p>
      <w:r>
        <w:rPr>
          <w:b/>
        </w:rPr>
        <w:t>Quick Reference</w:t>
        <w:br/>
      </w:r>
      <w:r>
        <w:rPr>
          <w:b/>
        </w:rPr>
        <w:t xml:space="preserve">Symbol: </w:t>
      </w:r>
      <w:r>
        <w:t>Sm</w:t>
        <w:br/>
      </w:r>
      <w:r>
        <w:rPr>
          <w:b/>
        </w:rPr>
        <w:t xml:space="preserve">Classification: </w:t>
      </w:r>
      <w:r>
        <w:t>Deployment Technique</w:t>
        <w:br/>
      </w:r>
      <w:r>
        <w:rPr>
          <w:b/>
        </w:rPr>
        <w:t xml:space="preserve">Status: </w:t>
      </w:r>
      <w:r>
        <w:t>GAP</w:t>
        <w:br/>
      </w:r>
      <w:r>
        <w:rPr>
          <w:b/>
        </w:rPr>
        <w:t xml:space="preserve">Component: </w:t>
      </w:r>
      <w:r>
        <w:t>Not implemented</w:t>
        <w:br/>
      </w:r>
      <w:r>
        <w:rPr>
          <w:b/>
        </w:rPr>
        <w:t xml:space="preserve">Grid Position: </w:t>
      </w:r>
      <w:r>
        <w:t>R3/C5</w:t>
        <w:br/>
      </w:r>
    </w:p>
    <w:p/>
    <w:p>
      <w:pPr>
        <w:pStyle w:val="Heading2"/>
      </w:pPr>
      <w:r>
        <w:t>Definition</w:t>
      </w:r>
    </w:p>
    <w:p>
      <w:r>
        <w:t>Smaller, optimized models that can run on edge devices with limited compute. Currently not implemented but represents a gap for field deployment.</w:t>
      </w:r>
    </w:p>
    <w:p>
      <w:pPr>
        <w:pStyle w:val="Heading2"/>
      </w:pPr>
      <w:r>
        <w:t>Industrial Value</w:t>
      </w:r>
    </w:p>
    <w:p>
      <w:r>
        <w:t>Could enable AI agents to run directly on field devices (turbines, transformers) without requiring cloud connectivity. Critical for remote locations.</w:t>
      </w:r>
    </w:p>
    <w:p>
      <w:pPr>
        <w:pStyle w:val="Heading2"/>
      </w:pPr>
      <w:r>
        <w:t>Reactivity &amp; Bonds</w:t>
      </w:r>
    </w:p>
    <w:p>
      <w:r>
        <w:t>Small models would complement LLM (Lg) for edge scenarios. Would require quantization and model distillation techniques.</w:t>
      </w:r>
    </w:p>
    <w:p>
      <w:r>
        <w:rPr>
          <w:b/>
        </w:rPr>
        <w:t xml:space="preserve">Bonds with: </w:t>
      </w:r>
      <w:r>
        <w:t>Lg</w:t>
      </w:r>
    </w:p>
    <w:p>
      <w:r>
        <w:br w:type="page"/>
      </w:r>
    </w:p>
    <w:p>
      <w:pPr>
        <w:pStyle w:val="Heading1"/>
      </w:pPr>
      <w:r>
        <w:t>Chapter 14: [Ma] Multi-agent</w:t>
      </w:r>
    </w:p>
    <w:p>
      <w:r>
        <w:rPr>
          <w:b/>
        </w:rPr>
        <w:t>Quick Reference</w:t>
        <w:br/>
      </w:r>
      <w:r>
        <w:rPr>
          <w:b/>
        </w:rPr>
        <w:t xml:space="preserve">Symbol: </w:t>
      </w:r>
      <w:r>
        <w:t>Ma</w:t>
        <w:br/>
      </w:r>
      <w:r>
        <w:rPr>
          <w:b/>
        </w:rPr>
        <w:t xml:space="preserve">Classification: </w:t>
      </w:r>
      <w:r>
        <w:t>Behavioral Property</w:t>
        <w:br/>
      </w:r>
      <w:r>
        <w:rPr>
          <w:b/>
        </w:rPr>
        <w:t xml:space="preserve">Status: </w:t>
      </w:r>
      <w:r>
        <w:t>STRONG</w:t>
        <w:br/>
      </w:r>
      <w:r>
        <w:rPr>
          <w:b/>
        </w:rPr>
        <w:t xml:space="preserve">Component: </w:t>
      </w:r>
      <w:r>
        <w:t>Agent Delegation</w:t>
        <w:br/>
      </w:r>
      <w:r>
        <w:rPr>
          <w:b/>
        </w:rPr>
        <w:t xml:space="preserve">Grid Position: </w:t>
      </w:r>
      <w:r>
        <w:t>R4/C1</w:t>
        <w:br/>
      </w:r>
    </w:p>
    <w:p/>
    <w:p>
      <w:pPr>
        <w:pStyle w:val="Heading2"/>
      </w:pPr>
      <w:r>
        <w:t>Definition</w:t>
      </w:r>
    </w:p>
    <w:p>
      <w:r>
        <w:t>Systems where multiple specialized agents collaborate to solve complex problems. Agent delegation allows agents to hand off tasks to more appropriate specialists.</w:t>
      </w:r>
    </w:p>
    <w:p>
      <w:pPr>
        <w:pStyle w:val="Heading2"/>
      </w:pPr>
      <w:r>
        <w:t>Industrial Value</w:t>
      </w:r>
    </w:p>
    <w:p>
      <w:r>
        <w:t>Enables handling of complex scenarios that require multiple areas of expertise. For example, a safety agent, efficiency agent, and compliance agent can negotiate optimal solutions.</w:t>
      </w:r>
    </w:p>
    <w:p>
      <w:pPr>
        <w:pStyle w:val="Heading2"/>
      </w:pPr>
      <w:r>
        <w:t>Reactivity &amp; Bonds</w:t>
      </w:r>
    </w:p>
    <w:p>
      <w:r>
        <w:t>Multi-agent systems catalyze Emergent AI (Ea). Agents must operate within shared Context Ecology (Ec).</w:t>
      </w:r>
    </w:p>
    <w:p>
      <w:r>
        <w:rPr>
          <w:b/>
        </w:rPr>
        <w:t xml:space="preserve">Bonds with: </w:t>
      </w:r>
      <w:r>
        <w:t>Ag, Ea, Ec</w:t>
      </w:r>
    </w:p>
    <w:p>
      <w:r>
        <w:br w:type="page"/>
      </w:r>
    </w:p>
    <w:p>
      <w:pPr>
        <w:pStyle w:val="Heading1"/>
      </w:pPr>
      <w:r>
        <w:t>Chapter 15: [Sy] Synthetic</w:t>
      </w:r>
    </w:p>
    <w:p>
      <w:r>
        <w:rPr>
          <w:b/>
        </w:rPr>
        <w:t>Quick Reference</w:t>
        <w:br/>
      </w:r>
      <w:r>
        <w:rPr>
          <w:b/>
        </w:rPr>
        <w:t xml:space="preserve">Symbol: </w:t>
      </w:r>
      <w:r>
        <w:t>Sy</w:t>
        <w:br/>
      </w:r>
      <w:r>
        <w:rPr>
          <w:b/>
        </w:rPr>
        <w:t xml:space="preserve">Classification: </w:t>
      </w:r>
      <w:r>
        <w:t>Structural Compound</w:t>
        <w:br/>
      </w:r>
      <w:r>
        <w:rPr>
          <w:b/>
        </w:rPr>
        <w:t xml:space="preserve">Status: </w:t>
      </w:r>
      <w:r>
        <w:t>STRONG</w:t>
        <w:br/>
      </w:r>
      <w:r>
        <w:rPr>
          <w:b/>
        </w:rPr>
        <w:t xml:space="preserve">Component: </w:t>
      </w:r>
      <w:r>
        <w:t>Story + Visual Gen</w:t>
        <w:br/>
      </w:r>
      <w:r>
        <w:rPr>
          <w:b/>
        </w:rPr>
        <w:t xml:space="preserve">Grid Position: </w:t>
      </w:r>
      <w:r>
        <w:t>R4/C2</w:t>
        <w:br/>
      </w:r>
    </w:p>
    <w:p/>
    <w:p>
      <w:pPr>
        <w:pStyle w:val="Heading2"/>
      </w:pPr>
      <w:r>
        <w:t>Definition</w:t>
      </w:r>
    </w:p>
    <w:p>
      <w:r>
        <w:t>Generation of synthetic training data, stories, and visuals. Story generation creates narrative scenarios, visual generation produces images from descriptions.</w:t>
      </w:r>
    </w:p>
    <w:p>
      <w:pPr>
        <w:pStyle w:val="Heading2"/>
      </w:pPr>
      <w:r>
        <w:t>Industrial Value</w:t>
      </w:r>
    </w:p>
    <w:p>
      <w:r>
        <w:t>Enables creation of training scenarios for edge cases that may not exist in historical data. Visual generation helps technicians understand complex procedures.</w:t>
      </w:r>
    </w:p>
    <w:p>
      <w:pPr>
        <w:pStyle w:val="Heading2"/>
      </w:pPr>
      <w:r>
        <w:t>Reactivity &amp; Bonds</w:t>
      </w:r>
    </w:p>
    <w:p>
      <w:r>
        <w:t>Synthetic generation enhances LLM (Lg) training data and Multimodal (Mm) capabilities.</w:t>
      </w:r>
    </w:p>
    <w:p>
      <w:r>
        <w:rPr>
          <w:b/>
        </w:rPr>
        <w:t xml:space="preserve">Bonds with: </w:t>
      </w:r>
      <w:r>
        <w:t>Lg, Mm</w:t>
      </w:r>
    </w:p>
    <w:p>
      <w:r>
        <w:br w:type="page"/>
      </w:r>
    </w:p>
    <w:p>
      <w:pPr>
        <w:pStyle w:val="Heading1"/>
      </w:pPr>
      <w:r>
        <w:t>Chapter 16: [Gk] Graph Knowledge</w:t>
      </w:r>
    </w:p>
    <w:p>
      <w:r>
        <w:rPr>
          <w:b/>
        </w:rPr>
        <w:t>Quick Reference</w:t>
        <w:br/>
      </w:r>
      <w:r>
        <w:rPr>
          <w:b/>
        </w:rPr>
        <w:t xml:space="preserve">Symbol: </w:t>
      </w:r>
      <w:r>
        <w:t>Gk</w:t>
        <w:br/>
      </w:r>
      <w:r>
        <w:rPr>
          <w:b/>
        </w:rPr>
        <w:t xml:space="preserve">Classification: </w:t>
      </w:r>
      <w:r>
        <w:t>Structural Compound</w:t>
        <w:br/>
      </w:r>
      <w:r>
        <w:rPr>
          <w:b/>
        </w:rPr>
        <w:t xml:space="preserve">Status: </w:t>
      </w:r>
      <w:r>
        <w:t>UNIQUE DIFFERENTIATOR</w:t>
        <w:br/>
      </w:r>
      <w:r>
        <w:rPr>
          <w:b/>
        </w:rPr>
        <w:t xml:space="preserve">Component: </w:t>
      </w:r>
      <w:r>
        <w:t>Zep Temporal KG</w:t>
        <w:br/>
      </w:r>
      <w:r>
        <w:rPr>
          <w:b/>
        </w:rPr>
        <w:t xml:space="preserve">Grid Position: </w:t>
      </w:r>
      <w:r>
        <w:t>R4/C3</w:t>
        <w:br/>
      </w:r>
    </w:p>
    <w:p/>
    <w:p>
      <w:pPr>
        <w:pStyle w:val="Heading2"/>
      </w:pPr>
      <w:r>
        <w:t>Definition</w:t>
      </w:r>
    </w:p>
    <w:p>
      <w:r>
        <w:t>Temporal knowledge graph that stores relationships between entities over time. Zep Temporal KG enables understanding of 'when' and 'why' relationships exist, not just 'what' they are.</w:t>
      </w:r>
    </w:p>
    <w:p>
      <w:pPr>
        <w:pStyle w:val="Heading2"/>
      </w:pPr>
      <w:r>
        <w:t>Industrial Value</w:t>
      </w:r>
    </w:p>
    <w:p>
      <w:r>
        <w:t>Enables understanding of causal relationships in complex systems. For example, understanding that a pressure drop in 2018 led to a specific maintenance procedure, and that same pattern appearing now suggests similar intervention.</w:t>
      </w:r>
    </w:p>
    <w:p>
      <w:pPr>
        <w:pStyle w:val="Heading2"/>
      </w:pPr>
      <w:r>
        <w:t>Reactivity &amp; Bonds</w:t>
      </w:r>
    </w:p>
    <w:p>
      <w:r>
        <w:t>Graph Knowledge enhances RAG (Rg) with temporal context. It enables Vector Resonance (Vr) calculations.</w:t>
      </w:r>
    </w:p>
    <w:p>
      <w:r>
        <w:rPr>
          <w:b/>
        </w:rPr>
        <w:t xml:space="preserve">Bonds with: </w:t>
      </w:r>
      <w:r>
        <w:t>Rg, Vr, Kv</w:t>
      </w:r>
    </w:p>
    <w:p>
      <w:r>
        <w:br w:type="page"/>
      </w:r>
    </w:p>
    <w:p>
      <w:pPr>
        <w:pStyle w:val="Heading1"/>
      </w:pPr>
      <w:r>
        <w:t>Chapter 17: [In] Interpret</w:t>
      </w:r>
    </w:p>
    <w:p>
      <w:r>
        <w:rPr>
          <w:b/>
        </w:rPr>
        <w:t>Quick Reference</w:t>
        <w:br/>
      </w:r>
      <w:r>
        <w:rPr>
          <w:b/>
        </w:rPr>
        <w:t xml:space="preserve">Symbol: </w:t>
      </w:r>
      <w:r>
        <w:t>In</w:t>
        <w:br/>
      </w:r>
      <w:r>
        <w:rPr>
          <w:b/>
        </w:rPr>
        <w:t xml:space="preserve">Classification: </w:t>
      </w:r>
      <w:r>
        <w:t>Measurement / Signal</w:t>
        <w:br/>
      </w:r>
      <w:r>
        <w:rPr>
          <w:b/>
        </w:rPr>
        <w:t xml:space="preserve">Status: </w:t>
      </w:r>
      <w:r>
        <w:t>GAP</w:t>
        <w:br/>
      </w:r>
      <w:r>
        <w:rPr>
          <w:b/>
        </w:rPr>
        <w:t xml:space="preserve">Component: </w:t>
      </w:r>
      <w:r>
        <w:t>Not implemented</w:t>
        <w:br/>
      </w:r>
      <w:r>
        <w:rPr>
          <w:b/>
        </w:rPr>
        <w:t xml:space="preserve">Grid Position: </w:t>
      </w:r>
      <w:r>
        <w:t>R4/C4</w:t>
        <w:br/>
      </w:r>
    </w:p>
    <w:p/>
    <w:p>
      <w:pPr>
        <w:pStyle w:val="Heading2"/>
      </w:pPr>
      <w:r>
        <w:t>Definition</w:t>
      </w:r>
    </w:p>
    <w:p>
      <w:r>
        <w:t>Explainability techniques that reveal how models make decisions. Currently not implemented but represents an important gap for regulatory compliance.</w:t>
      </w:r>
    </w:p>
    <w:p>
      <w:pPr>
        <w:pStyle w:val="Heading2"/>
      </w:pPr>
      <w:r>
        <w:t>Industrial Value</w:t>
      </w:r>
    </w:p>
    <w:p>
      <w:r>
        <w:t>Required for explaining AI decisions to regulators and safety boards. 'Why did you recommend shutting down this turbine?' must be answerable.</w:t>
      </w:r>
    </w:p>
    <w:p>
      <w:pPr>
        <w:pStyle w:val="Heading2"/>
      </w:pPr>
      <w:r>
        <w:t>Reactivity &amp; Bonds</w:t>
      </w:r>
    </w:p>
    <w:p>
      <w:r>
        <w:t>Interpret would complement Provenance (Mp) by explaining not just 'what' source was used, but 'how' it influenced the decision.</w:t>
      </w:r>
    </w:p>
    <w:p>
      <w:r>
        <w:rPr>
          <w:b/>
        </w:rPr>
        <w:t xml:space="preserve">Bonds with: </w:t>
      </w:r>
      <w:r>
        <w:t>Mp, Th</w:t>
      </w:r>
    </w:p>
    <w:p>
      <w:r>
        <w:br w:type="page"/>
      </w:r>
    </w:p>
    <w:p>
      <w:pPr>
        <w:pStyle w:val="Heading1"/>
      </w:pPr>
      <w:r>
        <w:t>Chapter 18: [Th] Thinking</w:t>
      </w:r>
    </w:p>
    <w:p>
      <w:r>
        <w:rPr>
          <w:b/>
        </w:rPr>
        <w:t>Quick Reference</w:t>
        <w:br/>
      </w:r>
      <w:r>
        <w:rPr>
          <w:b/>
        </w:rPr>
        <w:t xml:space="preserve">Symbol: </w:t>
      </w:r>
      <w:r>
        <w:t>Th</w:t>
        <w:br/>
      </w:r>
      <w:r>
        <w:rPr>
          <w:b/>
        </w:rPr>
        <w:t xml:space="preserve">Classification: </w:t>
      </w:r>
      <w:r>
        <w:t>Behavioral Property</w:t>
        <w:br/>
      </w:r>
      <w:r>
        <w:rPr>
          <w:b/>
        </w:rPr>
        <w:t xml:space="preserve">Status: </w:t>
      </w:r>
      <w:r>
        <w:t>STRONG</w:t>
        <w:br/>
      </w:r>
      <w:r>
        <w:rPr>
          <w:b/>
        </w:rPr>
        <w:t xml:space="preserve">Component: </w:t>
      </w:r>
      <w:r>
        <w:t>Extended Reasoning</w:t>
        <w:br/>
      </w:r>
      <w:r>
        <w:rPr>
          <w:b/>
        </w:rPr>
        <w:t xml:space="preserve">Grid Position: </w:t>
      </w:r>
      <w:r>
        <w:t>R4/C5</w:t>
        <w:br/>
      </w:r>
    </w:p>
    <w:p/>
    <w:p>
      <w:pPr>
        <w:pStyle w:val="Heading2"/>
      </w:pPr>
      <w:r>
        <w:t>Definition</w:t>
      </w:r>
    </w:p>
    <w:p>
      <w:r>
        <w:t>Extended reasoning capabilities that allow models to 'think through' problems step-by-step. Chain-of-thought and tree-of-thought reasoning enable complex problem solving.</w:t>
      </w:r>
    </w:p>
    <w:p>
      <w:pPr>
        <w:pStyle w:val="Heading2"/>
      </w:pPr>
      <w:r>
        <w:t>Industrial Value</w:t>
      </w:r>
    </w:p>
    <w:p>
      <w:r>
        <w:t>Critical for handling novel scenarios that don't match historical patterns. Extended reasoning allows agents to synthesize solutions from first principles.</w:t>
      </w:r>
    </w:p>
    <w:p>
      <w:pPr>
        <w:pStyle w:val="Heading2"/>
      </w:pPr>
      <w:r>
        <w:t>Reactivity &amp; Bonds</w:t>
      </w:r>
    </w:p>
    <w:p>
      <w:r>
        <w:t>Thinking enhances LLM (Lg) problem-solving. It is prerequisite for Emergent AI (Ea) in novel scenarios.</w:t>
      </w:r>
    </w:p>
    <w:p>
      <w:r>
        <w:rPr>
          <w:b/>
        </w:rPr>
        <w:t xml:space="preserve">Bonds with: </w:t>
      </w:r>
      <w:r>
        <w:t>Lg, Ea</w:t>
      </w:r>
    </w:p>
    <w:p>
      <w:r>
        <w:br w:type="page"/>
      </w:r>
    </w:p>
    <w:p>
      <w:pPr>
        <w:pStyle w:val="Heading1"/>
      </w:pPr>
      <w:r>
        <w:t>Part II: The Context Series — Industrial AI Elements</w:t>
      </w:r>
    </w:p>
    <w:p>
      <w:r>
        <w:t>The Context Series represents Engram's core industrial differentiators. Like the lanthanides in the periodic table, these elements form a special series that underlies and enables the main grid functionality. These elements are specifically designed to overcome the 'Memory Wall' limitation of traditional LLM approaches.</w:t>
      </w:r>
    </w:p>
    <w:p>
      <w:r>
        <w:br w:type="page"/>
      </w:r>
    </w:p>
    <w:p>
      <w:pPr>
        <w:pStyle w:val="Heading1"/>
      </w:pPr>
      <w:r>
        <w:t>Chapter 19: [Ec] Context Ecology</w:t>
      </w:r>
    </w:p>
    <w:p>
      <w:r>
        <w:rPr>
          <w:b/>
        </w:rPr>
        <w:t>Quick Reference</w:t>
        <w:br/>
      </w:r>
      <w:r>
        <w:rPr>
          <w:b/>
        </w:rPr>
        <w:t xml:space="preserve">Symbol: </w:t>
      </w:r>
      <w:r>
        <w:t>Ec</w:t>
        <w:br/>
      </w:r>
      <w:r>
        <w:rPr>
          <w:b/>
        </w:rPr>
        <w:t xml:space="preserve">Classification: </w:t>
      </w:r>
      <w:r>
        <w:t>Environmental Base / Medium</w:t>
        <w:br/>
      </w:r>
      <w:r>
        <w:rPr>
          <w:b/>
        </w:rPr>
        <w:t xml:space="preserve">Status: </w:t>
      </w:r>
      <w:r>
        <w:t>STRONG</w:t>
        <w:br/>
      </w:r>
      <w:r>
        <w:rPr>
          <w:b/>
        </w:rPr>
        <w:t xml:space="preserve">Component: </w:t>
      </w:r>
      <w:r>
        <w:t>Temporal Lifecycle</w:t>
        <w:br/>
      </w:r>
    </w:p>
    <w:p/>
    <w:p>
      <w:pPr>
        <w:pStyle w:val="Heading2"/>
      </w:pPr>
      <w:r>
        <w:t>Definition</w:t>
      </w:r>
    </w:p>
    <w:p>
      <w:r>
        <w:t>The dynamic environment in which all other AI agents and data reside. In this ecology, data is not a static file; it is a living entity with a lifecycle, decay rate, and relational gravity.</w:t>
      </w:r>
    </w:p>
    <w:p>
      <w:pPr>
        <w:pStyle w:val="Heading2"/>
      </w:pPr>
      <w:r>
        <w:t>Industrial Value</w:t>
      </w:r>
    </w:p>
    <w:p>
      <w:r>
        <w:t>Moves GE from 'Data Management' (storing files) to 'Context Management' (understanding the active state of the grid). Enables understanding that a sensor reading from 1995 has low currency but high historical resonance, while a grid alert from 5 minutes ago has high urgency and immediate decay.</w:t>
      </w:r>
    </w:p>
    <w:p>
      <w:pPr>
        <w:pStyle w:val="Heading2"/>
      </w:pPr>
      <w:r>
        <w:t>Reactivity &amp; Bonds</w:t>
      </w:r>
    </w:p>
    <w:p>
      <w:r>
        <w:t>All agents (Ag) must function within a defined Ecology. The ecology determines data currency, relevance decay, and relational importance.</w:t>
      </w:r>
    </w:p>
    <w:p>
      <w:r>
        <w:rPr>
          <w:b/>
        </w:rPr>
        <w:t xml:space="preserve">Bonds with: </w:t>
      </w:r>
      <w:r>
        <w:t>Ag, Ma</w:t>
      </w:r>
    </w:p>
    <w:p>
      <w:r>
        <w:rPr>
          <w:b/>
        </w:rPr>
        <w:t xml:space="preserve">Opposes: </w:t>
      </w:r>
      <w:r>
        <w:t>Static Storage (Data Lakes)</w:t>
      </w:r>
    </w:p>
    <w:p>
      <w:r>
        <w:br w:type="page"/>
      </w:r>
    </w:p>
    <w:p>
      <w:pPr>
        <w:pStyle w:val="Heading1"/>
      </w:pPr>
      <w:r>
        <w:t>Chapter 20: [Ea] Emergence</w:t>
      </w:r>
    </w:p>
    <w:p>
      <w:r>
        <w:rPr>
          <w:b/>
        </w:rPr>
        <w:t>Quick Reference</w:t>
        <w:br/>
      </w:r>
      <w:r>
        <w:rPr>
          <w:b/>
        </w:rPr>
        <w:t xml:space="preserve">Symbol: </w:t>
      </w:r>
      <w:r>
        <w:t>Ea</w:t>
        <w:br/>
      </w:r>
      <w:r>
        <w:rPr>
          <w:b/>
        </w:rPr>
        <w:t xml:space="preserve">Classification: </w:t>
      </w:r>
      <w:r>
        <w:t>Behavioral Property</w:t>
        <w:br/>
      </w:r>
      <w:r>
        <w:rPr>
          <w:b/>
        </w:rPr>
        <w:t xml:space="preserve">Status: </w:t>
      </w:r>
      <w:r>
        <w:t>UNIQUE DIFFERENTIATOR</w:t>
        <w:br/>
      </w:r>
      <w:r>
        <w:rPr>
          <w:b/>
        </w:rPr>
        <w:t xml:space="preserve">Component: </w:t>
      </w:r>
      <w:r>
        <w:t>Agent Synthesis</w:t>
        <w:br/>
      </w:r>
    </w:p>
    <w:p/>
    <w:p>
      <w:pPr>
        <w:pStyle w:val="Heading2"/>
      </w:pPr>
      <w:r>
        <w:t>Definition</w:t>
      </w:r>
    </w:p>
    <w:p>
      <w:r>
        <w:t>Intelligence that arises from the interaction of multiple specialized agents negotiating a solution, rather than from a single top-down instruction. Emergent behaviors are not explicitly programmed but synthesize from agent interactions within shared context.</w:t>
      </w:r>
    </w:p>
    <w:p>
      <w:pPr>
        <w:pStyle w:val="Heading2"/>
      </w:pPr>
      <w:r>
        <w:t>Industrial Value</w:t>
      </w:r>
    </w:p>
    <w:p>
      <w:r>
        <w:t>Allows the system to handle 'Black Swan' events (unforeseen failures) by synthesizing a new solution from first principles, rather than failing because no specific rule was written. For example, agents for 'Safety,' 'Load,' and 'Supply' can negotiate the best outcome in real-time without explicit 'if-then' rules for every scenario.</w:t>
      </w:r>
    </w:p>
    <w:p>
      <w:pPr>
        <w:pStyle w:val="Heading2"/>
      </w:pPr>
      <w:r>
        <w:t>Reactivity &amp; Bonds</w:t>
      </w:r>
    </w:p>
    <w:p>
      <w:r>
        <w:t>Catalyzed by Multi-Agent Systems (Ma) when agents interact within Context Ecology (Ec). Stabilized by Guardrails (Gr) to prevent unsafe emergent behaviors.</w:t>
      </w:r>
    </w:p>
    <w:p>
      <w:r>
        <w:rPr>
          <w:b/>
        </w:rPr>
        <w:t xml:space="preserve">Catalyzed by: </w:t>
      </w:r>
      <w:r>
        <w:t>Ma, Ec</w:t>
      </w:r>
    </w:p>
    <w:p>
      <w:r>
        <w:rPr>
          <w:b/>
        </w:rPr>
        <w:t xml:space="preserve">Stabilized by: </w:t>
      </w:r>
      <w:r>
        <w:t>Gr</w:t>
      </w:r>
    </w:p>
    <w:p>
      <w:r>
        <w:br w:type="page"/>
      </w:r>
    </w:p>
    <w:p>
      <w:pPr>
        <w:pStyle w:val="Heading1"/>
      </w:pPr>
      <w:r>
        <w:t>Chapter 21: [Kv] Keyword Vector</w:t>
      </w:r>
    </w:p>
    <w:p>
      <w:r>
        <w:rPr>
          <w:b/>
        </w:rPr>
        <w:t>Quick Reference</w:t>
        <w:br/>
      </w:r>
      <w:r>
        <w:rPr>
          <w:b/>
        </w:rPr>
        <w:t xml:space="preserve">Symbol: </w:t>
      </w:r>
      <w:r>
        <w:t>Kv</w:t>
        <w:br/>
      </w:r>
      <w:r>
        <w:rPr>
          <w:b/>
        </w:rPr>
        <w:t xml:space="preserve">Classification: </w:t>
      </w:r>
      <w:r>
        <w:t>Structural Compound</w:t>
        <w:br/>
      </w:r>
      <w:r>
        <w:rPr>
          <w:b/>
        </w:rPr>
        <w:t xml:space="preserve">Status: </w:t>
      </w:r>
      <w:r>
        <w:t>UNIQUE DIFFERENTIATOR</w:t>
        <w:br/>
      </w:r>
      <w:r>
        <w:rPr>
          <w:b/>
        </w:rPr>
        <w:t xml:space="preserve">Component: </w:t>
      </w:r>
      <w:r>
        <w:t>Entity-Action-Context</w:t>
        <w:br/>
      </w:r>
    </w:p>
    <w:p/>
    <w:p>
      <w:pPr>
        <w:pStyle w:val="Heading2"/>
      </w:pPr>
      <w:r>
        <w:t>Definition</w:t>
      </w:r>
    </w:p>
    <w:p>
      <w:r>
        <w:t>A proprietary data structure utilizing the 'Entity-Action-Context' triad. It bridges the gap between rigid SQL databases and fuzzy Vector Searches. Documents are ingested not as 'blobs' of text, but as vectors of relationships that preserve semantic precision.</w:t>
      </w:r>
    </w:p>
    <w:p>
      <w:pPr>
        <w:pStyle w:val="Heading2"/>
      </w:pPr>
      <w:r>
        <w:t>Industrial Value</w:t>
      </w:r>
    </w:p>
    <w:p>
      <w:r>
        <w:t>The only mechanism capable of ingesting 50 years of legacy engineering manuals while retaining the precision needed to distinguish between a 'test procedure' and an 'emergency protocol.' Allows understanding that a 'pressure drop' (Action) in a 'H-Class Turbine' (Entity) has a different meaning during 'Startup' vs. 'Peak Load' (Context).</w:t>
      </w:r>
    </w:p>
    <w:p>
      <w:pPr>
        <w:pStyle w:val="Heading2"/>
      </w:pPr>
      <w:r>
        <w:t>Reactivity &amp; Bonds</w:t>
      </w:r>
    </w:p>
    <w:p>
      <w:r>
        <w:t>Enhances Retrieval (Rg) by making it precise rather than probabilistic. Works in concert with Graph Knowledge (Gk) to provide temporal context.</w:t>
      </w:r>
    </w:p>
    <w:p>
      <w:r>
        <w:rPr>
          <w:b/>
        </w:rPr>
        <w:t xml:space="preserve">Bonds with: </w:t>
      </w:r>
      <w:r>
        <w:t>Gk, Vr</w:t>
      </w:r>
    </w:p>
    <w:p>
      <w:r>
        <w:rPr>
          <w:b/>
        </w:rPr>
        <w:t xml:space="preserve">Enhances: </w:t>
      </w:r>
      <w:r>
        <w:t>Rg, Vx</w:t>
      </w:r>
    </w:p>
    <w:p>
      <w:r>
        <w:br w:type="page"/>
      </w:r>
    </w:p>
    <w:p>
      <w:pPr>
        <w:pStyle w:val="Heading1"/>
      </w:pPr>
      <w:r>
        <w:t>Chapter 22: [Mp] Memory Provenance</w:t>
      </w:r>
    </w:p>
    <w:p>
      <w:r>
        <w:rPr>
          <w:b/>
        </w:rPr>
        <w:t>Quick Reference</w:t>
        <w:br/>
      </w:r>
      <w:r>
        <w:rPr>
          <w:b/>
        </w:rPr>
        <w:t xml:space="preserve">Symbol: </w:t>
      </w:r>
      <w:r>
        <w:t>Mp</w:t>
        <w:br/>
      </w:r>
      <w:r>
        <w:rPr>
          <w:b/>
        </w:rPr>
        <w:t xml:space="preserve">Classification: </w:t>
      </w:r>
      <w:r>
        <w:t>Safety / Isotope</w:t>
        <w:br/>
      </w:r>
      <w:r>
        <w:rPr>
          <w:b/>
        </w:rPr>
        <w:t xml:space="preserve">Status: </w:t>
      </w:r>
      <w:r>
        <w:t>STRONG</w:t>
        <w:br/>
      </w:r>
      <w:r>
        <w:rPr>
          <w:b/>
        </w:rPr>
        <w:t xml:space="preserve">Component: </w:t>
      </w:r>
      <w:r>
        <w:t>Memory Audit Trail</w:t>
        <w:br/>
      </w:r>
    </w:p>
    <w:p/>
    <w:p>
      <w:pPr>
        <w:pStyle w:val="Heading2"/>
      </w:pPr>
      <w:r>
        <w:t>Definition</w:t>
      </w:r>
    </w:p>
    <w:p>
      <w:r>
        <w:t>The immutable audit trail linking a specific AI output back to its source memory (e.g., 'This recommendation came from Manual X, Page 42, accessed at timestamp Y'). Every output generated by our systems must carry this trail.</w:t>
      </w:r>
    </w:p>
    <w:p>
      <w:pPr>
        <w:pStyle w:val="Heading2"/>
      </w:pPr>
      <w:r>
        <w:t>Industrial Value</w:t>
      </w:r>
    </w:p>
    <w:p>
      <w:r>
        <w:t>The non-negotiable requirement for deployment in safety-critical infrastructure. 'Black Box' AI is illegal in many industrial contexts; Provenance makes it transparent. If the AI recommends a maintenance action, it must cite the Provenance ID. The rule: No Provenance, No Execution.</w:t>
      </w:r>
    </w:p>
    <w:p>
      <w:pPr>
        <w:pStyle w:val="Heading2"/>
      </w:pPr>
      <w:r>
        <w:t>Reactivity &amp; Bonds</w:t>
      </w:r>
    </w:p>
    <w:p>
      <w:r>
        <w:t>Prerequisite for Action/Function Call (Fc). No execution without provenance. Works with Guardrails (Gr) to ensure all actions are auditable.</w:t>
      </w:r>
    </w:p>
    <w:p>
      <w:r>
        <w:rPr>
          <w:b/>
        </w:rPr>
        <w:t xml:space="preserve">Bonds with: </w:t>
      </w:r>
      <w:r>
        <w:t>Gr, Rt</w:t>
      </w:r>
    </w:p>
    <w:p>
      <w:r>
        <w:rPr>
          <w:b/>
        </w:rPr>
        <w:t xml:space="preserve">Prerequisite for: </w:t>
      </w:r>
      <w:r>
        <w:t>Fc</w:t>
      </w:r>
    </w:p>
    <w:p>
      <w:r>
        <w:br w:type="page"/>
      </w:r>
    </w:p>
    <w:p>
      <w:pPr>
        <w:pStyle w:val="Heading1"/>
      </w:pPr>
      <w:r>
        <w:t>Chapter 23: [Vr] Vector Resonance</w:t>
      </w:r>
    </w:p>
    <w:p>
      <w:r>
        <w:rPr>
          <w:b/>
        </w:rPr>
        <w:t>Quick Reference</w:t>
        <w:br/>
      </w:r>
      <w:r>
        <w:rPr>
          <w:b/>
        </w:rPr>
        <w:t xml:space="preserve">Symbol: </w:t>
      </w:r>
      <w:r>
        <w:t>Vr</w:t>
        <w:br/>
      </w:r>
      <w:r>
        <w:rPr>
          <w:b/>
        </w:rPr>
        <w:t xml:space="preserve">Classification: </w:t>
      </w:r>
      <w:r>
        <w:t>Measurement / Signal</w:t>
        <w:br/>
      </w:r>
      <w:r>
        <w:rPr>
          <w:b/>
        </w:rPr>
        <w:t xml:space="preserve">Status: </w:t>
      </w:r>
      <w:r>
        <w:t>EMERGING</w:t>
        <w:br/>
      </w:r>
      <w:r>
        <w:rPr>
          <w:b/>
        </w:rPr>
        <w:t xml:space="preserve">Component: </w:t>
      </w:r>
      <w:r>
        <w:t>Historical Matching</w:t>
        <w:br/>
      </w:r>
    </w:p>
    <w:p/>
    <w:p>
      <w:pPr>
        <w:pStyle w:val="Heading2"/>
      </w:pPr>
      <w:r>
        <w:t>Definition</w:t>
      </w:r>
    </w:p>
    <w:p>
      <w:r>
        <w:t>A metric indicating the strength of the match between a current operational anomaly and a historical pattern within the Knowledge Graph. High resonance means we have seen this exact (or very similar) failure mode before.</w:t>
      </w:r>
    </w:p>
    <w:p>
      <w:pPr>
        <w:pStyle w:val="Heading2"/>
      </w:pPr>
      <w:r>
        <w:t>Industrial Value</w:t>
      </w:r>
    </w:p>
    <w:p>
      <w:r>
        <w:t>Provides a confidence score for predictive maintenance. 'High Resonance' means historical data strongly supports the current diagnosis. 'Low Resonance' suggests a novel scenario requiring extended reasoning or emergent synthesis.</w:t>
      </w:r>
    </w:p>
    <w:p>
      <w:pPr>
        <w:pStyle w:val="Heading2"/>
      </w:pPr>
      <w:r>
        <w:t>Reactivity &amp; Bonds</w:t>
      </w:r>
    </w:p>
    <w:p>
      <w:r>
        <w:t>Output of Keyword Vector (Kv) analysis within Graph Knowledge (Gk). High resonance triggers established protocols; low resonance triggers Emergent AI (Ea) pathways.</w:t>
      </w:r>
    </w:p>
    <w:p>
      <w:r>
        <w:rPr>
          <w:b/>
        </w:rPr>
        <w:t xml:space="preserve">Output of: </w:t>
      </w:r>
      <w:r>
        <w:t>Kv, Gk</w:t>
      </w:r>
    </w:p>
    <w:p>
      <w:r>
        <w:rPr>
          <w:b/>
        </w:rPr>
        <w:t xml:space="preserve">Triggers: </w:t>
      </w:r>
      <w:r>
        <w:t>High: Established Protocols, Low: Emergent AI (Ea)</w:t>
      </w:r>
    </w:p>
    <w:p>
      <w:r>
        <w:br w:type="page"/>
      </w:r>
    </w:p>
    <w:p>
      <w:pPr>
        <w:pStyle w:val="Heading1"/>
      </w:pPr>
      <w:r>
        <w:t>Chapter 24: [Mw] Memory Wall</w:t>
      </w:r>
    </w:p>
    <w:p>
      <w:r>
        <w:rPr>
          <w:b/>
        </w:rPr>
        <w:t>Quick Reference</w:t>
        <w:br/>
      </w:r>
      <w:r>
        <w:rPr>
          <w:b/>
        </w:rPr>
        <w:t xml:space="preserve">Symbol: </w:t>
      </w:r>
      <w:r>
        <w:t>Mw</w:t>
        <w:br/>
      </w:r>
      <w:r>
        <w:rPr>
          <w:b/>
        </w:rPr>
        <w:t xml:space="preserve">Classification: </w:t>
      </w:r>
      <w:r>
        <w:t>Theoretical Limit / Barrier</w:t>
        <w:br/>
      </w:r>
      <w:r>
        <w:rPr>
          <w:b/>
        </w:rPr>
        <w:t xml:space="preserve">Status: </w:t>
      </w:r>
      <w:r>
        <w:t>GAP</w:t>
        <w:br/>
      </w:r>
      <w:r>
        <w:rPr>
          <w:b/>
        </w:rPr>
        <w:t xml:space="preserve">Component: </w:t>
      </w:r>
      <w:r>
        <w:t>Theoretical Barrier</w:t>
        <w:br/>
      </w:r>
    </w:p>
    <w:p/>
    <w:p>
      <w:pPr>
        <w:pStyle w:val="Heading2"/>
      </w:pPr>
      <w:r>
        <w:t>Definition</w:t>
      </w:r>
    </w:p>
    <w:p>
      <w:r>
        <w:t>The boundary where standard LLMs fail because they cannot retain enough relevant context to make a coherent decision. This is the fundamental problem that Context Series elements are designed to solve.</w:t>
      </w:r>
    </w:p>
    <w:p>
      <w:pPr>
        <w:pStyle w:val="Heading2"/>
      </w:pPr>
      <w:r>
        <w:t>Industrial Value</w:t>
      </w:r>
    </w:p>
    <w:p>
      <w:r>
        <w:t>Defines the problem space. Industrial AI requires access to terabytes of sensor data, decades of maintenance logs, and thousands of engineering documents. Standard LLMs cannot process this volume. All Context Series elements (Ec, Ea, Kv, Mp, Vr) work together to break through this wall.</w:t>
      </w:r>
    </w:p>
    <w:p>
      <w:pPr>
        <w:pStyle w:val="Heading2"/>
      </w:pPr>
      <w:r>
        <w:t>Reactivity &amp; Bonds</w:t>
      </w:r>
    </w:p>
    <w:p>
      <w:r>
        <w:t>The Memory Wall is what Context Ecology (Ec), Keyword Vector (Kv), and Graph Knowledge (Gk) are designed to overcome. It represents the limit of traditional approaches.</w:t>
      </w:r>
    </w:p>
    <w:p>
      <w:r>
        <w:rPr>
          <w:b/>
        </w:rPr>
        <w:t xml:space="preserve">Overcome by: </w:t>
      </w:r>
      <w:r>
        <w:t>Ec, Kv, Gk, Rg</w:t>
      </w:r>
    </w:p>
    <w:p>
      <w:r>
        <w:br w:type="page"/>
      </w:r>
    </w:p>
    <w:p>
      <w:pPr>
        <w:pStyle w:val="Heading1"/>
      </w:pPr>
      <w:r>
        <w:t>Appendix A: Element Relationships</w:t>
      </w:r>
    </w:p>
    <w:p>
      <w:r>
        <w:t>For an interactive visualization of element relationships and bonds, please refer to the interactive HTML version: ai-periodic-table-interactive.html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