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r>
        <w:t>Main goal is to research and informate the student about law in cyber security and computers</w:t>
      </w:r>
      <w:r w:rsidR="000A5D9B">
        <w:t>.And to learn about cyber security law and understand your obligations with internet connection.</w:t>
      </w:r>
      <w:r w:rsidR="00B75E72">
        <w:t>Information was mainly gathered from lectures by doc. Jan Kolouch and from websites and information manuals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3B541826" w14:textId="2F565E25" w:rsidR="00FA22D2" w:rsidRPr="004B103F" w:rsidRDefault="00FA22D2" w:rsidP="00FA22D2">
      <w:pPr>
        <w:tabs>
          <w:tab w:val="right" w:pos="9072"/>
        </w:tabs>
        <w:spacing w:before="360"/>
        <w:ind w:firstLine="0"/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E202C">
              <w:rPr>
                <w:webHidden/>
              </w:rPr>
              <w:tab/>
            </w:r>
            <w:r w:rsidRPr="002E202C">
              <w:rPr>
                <w:webHidden/>
              </w:rPr>
              <w:fldChar w:fldCharType="begin"/>
            </w:r>
            <w:r w:rsidR="00A4785C" w:rsidRPr="002E202C">
              <w:rPr>
                <w:webHidden/>
              </w:rPr>
              <w:instrText xml:space="preserve"> PAGEREF _Toc476327912 \h </w:instrText>
            </w:r>
            <w:r w:rsidRPr="002E202C">
              <w:rPr>
                <w:webHidden/>
              </w:rPr>
            </w:r>
            <w:r w:rsidRPr="002E202C">
              <w:rPr>
                <w:webHidden/>
              </w:rPr>
              <w:fldChar w:fldCharType="separate"/>
            </w:r>
            <w:r w:rsidR="00A4785C" w:rsidRPr="002E202C">
              <w:rPr>
                <w:webHidden/>
              </w:rPr>
              <w:t>8</w:t>
            </w:r>
            <w:r w:rsidRPr="002E202C">
              <w:rPr>
                <w:webHidden/>
              </w:rPr>
              <w:fldChar w:fldCharType="end"/>
            </w:r>
          </w:hyperlink>
        </w:p>
        <w:p w14:paraId="1365F203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95752B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95752B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95752B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95752B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Default="0095752B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6778BE" w:rsidRDefault="006778BE" w:rsidP="00CD7B5D">
          <w:pPr>
            <w:ind w:firstLine="0"/>
          </w:pPr>
        </w:p>
        <w:p w14:paraId="650BA781" w14:textId="74420DAA" w:rsidR="001C2B1E" w:rsidRPr="009631E9" w:rsidRDefault="00A3598A" w:rsidP="009631E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7AC98FBD" w:rsidR="0087518F" w:rsidRPr="00320330" w:rsidRDefault="00EA047A" w:rsidP="00111603">
            <w:pPr>
              <w:pStyle w:val="Tabulka"/>
              <w:jc w:val="left"/>
            </w:pPr>
            <w:r w:rsidRPr="00320330">
              <w:t xml:space="preserve">Národní Úřad pro Kybernetickou a Informační </w:t>
            </w:r>
            <w:r w:rsidR="005E305A" w:rsidRPr="00320330">
              <w:t>Bezpečnost</w:t>
            </w:r>
            <w:r w:rsidR="005E305A">
              <w:t xml:space="preserve"> 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4C2FE8E2" w14:textId="322BFCB2" w:rsidR="008D4938" w:rsidRDefault="008D4938" w:rsidP="003E6E33">
      <w:pPr>
        <w:pStyle w:val="Normlnbezodsazen"/>
        <w:ind w:firstLine="709"/>
      </w:pPr>
      <w:r>
        <w:t>Naprostá většina z nás se denně setkává s počítači, mobilními telefony, informačními systémy atd.</w:t>
      </w:r>
      <w:r w:rsidR="00AF787C">
        <w:t xml:space="preserve"> Je nám jasné, že se náš život řídí zákony, a ty nám jasně dávají co můžeme dělat a kdy už se jedná o přestupek, případně o trestný čin.</w:t>
      </w:r>
      <w:r w:rsidR="004E50C4">
        <w:t xml:space="preserve"> </w:t>
      </w:r>
      <w:r w:rsidR="00DA088C">
        <w:t>Nicméně se právo často mění, a minimálně já si nemůžu být jist, že svým konáním v kyber prostoru nekonám něco nezákonného.</w:t>
      </w:r>
      <w:r w:rsidR="002D19EB">
        <w:t xml:space="preserve"> S příchodem zákona o kybernetické </w:t>
      </w:r>
      <w:r w:rsidR="006D0D14">
        <w:t>bezpečnosti,</w:t>
      </w:r>
      <w:r w:rsidR="002D19EB">
        <w:t xml:space="preserve"> o kterém panují velké debaty je také velmi důležité vědět a jak se bude chovat informační infrastruktura spadající pod něj.</w:t>
      </w:r>
      <w:r w:rsidR="00AB3752">
        <w:t xml:space="preserve"> </w:t>
      </w:r>
      <w:r w:rsidR="00F34CCC">
        <w:t xml:space="preserve">Dále také tvoří důležitou základnu pro ePrivacy, ochranu osobních </w:t>
      </w:r>
      <w:r w:rsidR="00DB7EBC">
        <w:t>údajů</w:t>
      </w:r>
      <w:r w:rsidR="00F34CCC">
        <w:t xml:space="preserve"> a další ochranu informací</w:t>
      </w:r>
      <w:r w:rsidR="009010FE">
        <w:t xml:space="preserve"> a bezpečnosti</w:t>
      </w:r>
      <w:r w:rsidR="00F34CCC">
        <w:t>, které s aktuálním rozvojem informačních technologií</w:t>
      </w:r>
      <w:r w:rsidR="007E69C4">
        <w:t xml:space="preserve"> </w:t>
      </w:r>
      <w:r w:rsidR="00F34CCC">
        <w:t>zasahují do</w:t>
      </w:r>
      <w:r w:rsidR="007E69C4">
        <w:t xml:space="preserve"> života každého z nás.</w:t>
      </w:r>
      <w:r w:rsidR="00F34CCC">
        <w:t xml:space="preserve"> </w:t>
      </w:r>
      <w:r w:rsidR="00AB3752">
        <w:t>Proto vznikl i tento projekt, ve kterém se na tyto věci zaměřím.</w:t>
      </w:r>
    </w:p>
    <w:p w14:paraId="5C5B9242" w14:textId="77777777" w:rsidR="004354A8" w:rsidRPr="004354A8" w:rsidRDefault="004354A8" w:rsidP="004354A8"/>
    <w:p w14:paraId="40FC9BDB" w14:textId="3BA6BB96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12A71174" w14:textId="0B53EDE4" w:rsidR="00E36C2D" w:rsidRDefault="00C07FD1" w:rsidP="008665F4">
      <w:pPr>
        <w:ind w:firstLine="709"/>
      </w:pPr>
      <w:r>
        <w:t xml:space="preserve">Na úvod je nutno </w:t>
      </w:r>
      <w:r w:rsidR="00FD20E2">
        <w:t>říct</w:t>
      </w:r>
      <w:r>
        <w:t>, že tato práce je čistě rešeršní za použití mnoha zdrojů a z nich udělán tento dokument.</w:t>
      </w:r>
      <w:r w:rsidR="003F712D">
        <w:t xml:space="preserve"> Na danou problematiku je jedním z</w:t>
      </w:r>
      <w:r w:rsidR="009470EA">
        <w:t> mých</w:t>
      </w:r>
      <w:r w:rsidR="003F712D">
        <w:t> hlavních zdrojů kniha CyberSecurity</w:t>
      </w:r>
      <w:r w:rsidR="00FD20E2">
        <w:t xml:space="preserve"> od doktora Jana Koloucha a spol.</w:t>
      </w:r>
      <w:r w:rsidR="003F712D">
        <w:t>, která k datu psaní této práce dává všechny platné informace.</w:t>
      </w:r>
      <w:r w:rsidR="00707D3E">
        <w:t xml:space="preserve"> Dále jsem také čerpal z prezentací a webových návodů a dokumentů od Národního Úřadu pro Kybernetickou a Informační Bezpečnost zkráceně NÚKIB</w:t>
      </w:r>
      <w:r w:rsidR="00E36C2D">
        <w:t xml:space="preserve">. </w:t>
      </w:r>
    </w:p>
    <w:p w14:paraId="5874D5F0" w14:textId="734FBDB3" w:rsidR="008665F4" w:rsidRPr="00E36C2D" w:rsidRDefault="00E36C2D" w:rsidP="008665F4">
      <w:pPr>
        <w:ind w:firstLine="709"/>
        <w:rPr>
          <w:lang w:val="en-US"/>
        </w:rPr>
      </w:pPr>
      <w:r>
        <w:t>Zřetelný problém je v nepřehlednosti pro laické a zákonem nepolíbené uživatele výpočetních technologií. NÚKIB jako instituce se snaží laiky vzdělávat</w:t>
      </w:r>
      <w:r w:rsidR="00F6716A">
        <w:t>, nicméně pro laiky je stále těžké pochopit, kdy se mohou např. s </w:t>
      </w:r>
      <w:r w:rsidR="00511A66">
        <w:t>internetovým připojením</w:t>
      </w:r>
      <w:r w:rsidR="00F6716A">
        <w:t xml:space="preserve"> dostat </w:t>
      </w:r>
      <w:r w:rsidR="00D94008">
        <w:t>k přestupku nebo i k trestnému činu.</w:t>
      </w:r>
    </w:p>
    <w:p w14:paraId="067745E2" w14:textId="7326AFDD" w:rsidR="003E6E33" w:rsidRPr="003E6E33" w:rsidRDefault="003E6E33" w:rsidP="00511A66">
      <w:pPr>
        <w:ind w:firstLine="0"/>
      </w:pPr>
    </w:p>
    <w:p w14:paraId="08E7317E" w14:textId="552D7051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452BE86A" w14:textId="102BD1B3" w:rsidR="00061470" w:rsidRPr="00061470" w:rsidRDefault="008E0AFE" w:rsidP="00061470">
      <w:pPr>
        <w:ind w:firstLine="709"/>
      </w:pPr>
      <w:r>
        <w:t>Jako prvním mým cílem se stalo prostudování trestního zákoníku zákonu č. 40/2009</w:t>
      </w:r>
      <w:r w:rsidR="003A6406">
        <w:t xml:space="preserve"> Sb.</w:t>
      </w:r>
      <w:r w:rsidR="00555840">
        <w:t xml:space="preserve"> a nalezení paragrafů týkajících se</w:t>
      </w:r>
      <w:r w:rsidR="00F05139">
        <w:t xml:space="preserve"> výpočetních technologií.</w:t>
      </w:r>
      <w:r w:rsidR="00061470">
        <w:t xml:space="preserve"> Zákony odkazují na dřívější zákony, ale zákony tykající se výpočetní techniky jsou primárně 230,231,232. Dále jsem si měl prostudovat zákon o kybernetické bezpečnosti </w:t>
      </w:r>
      <w:r w:rsidR="00CB5026">
        <w:t xml:space="preserve">zákon </w:t>
      </w:r>
      <w:r w:rsidR="003D4121">
        <w:t xml:space="preserve">č. </w:t>
      </w:r>
      <w:r w:rsidR="00CB5026">
        <w:t>181/2014 Sb.</w:t>
      </w:r>
      <w:r w:rsidR="00AF4798">
        <w:t>. K tomu se vázal jeho dopad na běžného uživatele</w:t>
      </w:r>
      <w:r w:rsidR="00A71C83">
        <w:t xml:space="preserve"> a jak by se podle něj měl řídit.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lastRenderedPageBreak/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0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6262164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4068EC86" w14:textId="20D2B383" w:rsidR="00FB211C" w:rsidRPr="00FE2812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FE281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285C" w14:textId="77777777" w:rsidR="0095752B" w:rsidRDefault="0095752B" w:rsidP="007C33D3">
      <w:pPr>
        <w:spacing w:line="240" w:lineRule="auto"/>
      </w:pPr>
      <w:r>
        <w:separator/>
      </w:r>
    </w:p>
  </w:endnote>
  <w:endnote w:type="continuationSeparator" w:id="0">
    <w:p w14:paraId="4F12EC02" w14:textId="77777777" w:rsidR="0095752B" w:rsidRDefault="0095752B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9594" w14:textId="77777777" w:rsidR="0095752B" w:rsidRDefault="0095752B" w:rsidP="007C33D3">
      <w:pPr>
        <w:spacing w:line="240" w:lineRule="auto"/>
      </w:pPr>
      <w:r>
        <w:separator/>
      </w:r>
    </w:p>
  </w:footnote>
  <w:footnote w:type="continuationSeparator" w:id="0">
    <w:p w14:paraId="41958DC6" w14:textId="77777777" w:rsidR="0095752B" w:rsidRDefault="0095752B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65419861">
    <w:abstractNumId w:val="16"/>
  </w:num>
  <w:num w:numId="2" w16cid:durableId="1996833843">
    <w:abstractNumId w:val="8"/>
  </w:num>
  <w:num w:numId="3" w16cid:durableId="1834221732">
    <w:abstractNumId w:val="3"/>
  </w:num>
  <w:num w:numId="4" w16cid:durableId="861549330">
    <w:abstractNumId w:val="2"/>
  </w:num>
  <w:num w:numId="5" w16cid:durableId="440296092">
    <w:abstractNumId w:val="1"/>
  </w:num>
  <w:num w:numId="6" w16cid:durableId="1847788090">
    <w:abstractNumId w:val="0"/>
  </w:num>
  <w:num w:numId="7" w16cid:durableId="374429428">
    <w:abstractNumId w:val="9"/>
  </w:num>
  <w:num w:numId="8" w16cid:durableId="715396864">
    <w:abstractNumId w:val="7"/>
  </w:num>
  <w:num w:numId="9" w16cid:durableId="2046519127">
    <w:abstractNumId w:val="6"/>
  </w:num>
  <w:num w:numId="10" w16cid:durableId="1176267484">
    <w:abstractNumId w:val="5"/>
  </w:num>
  <w:num w:numId="11" w16cid:durableId="271860554">
    <w:abstractNumId w:val="4"/>
  </w:num>
  <w:num w:numId="12" w16cid:durableId="2056923536">
    <w:abstractNumId w:val="15"/>
  </w:num>
  <w:num w:numId="13" w16cid:durableId="1540361175">
    <w:abstractNumId w:val="11"/>
  </w:num>
  <w:num w:numId="14" w16cid:durableId="385957266">
    <w:abstractNumId w:val="13"/>
  </w:num>
  <w:num w:numId="15" w16cid:durableId="605432686">
    <w:abstractNumId w:val="14"/>
  </w:num>
  <w:num w:numId="16" w16cid:durableId="1069887266">
    <w:abstractNumId w:val="10"/>
  </w:num>
  <w:num w:numId="17" w16cid:durableId="720962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61470"/>
    <w:rsid w:val="0007496D"/>
    <w:rsid w:val="000763D7"/>
    <w:rsid w:val="000834B0"/>
    <w:rsid w:val="00095157"/>
    <w:rsid w:val="000964BF"/>
    <w:rsid w:val="000A01EC"/>
    <w:rsid w:val="000A5D9B"/>
    <w:rsid w:val="000A67F8"/>
    <w:rsid w:val="000B39C5"/>
    <w:rsid w:val="000B5EAB"/>
    <w:rsid w:val="000B6732"/>
    <w:rsid w:val="00111603"/>
    <w:rsid w:val="0011420F"/>
    <w:rsid w:val="00120080"/>
    <w:rsid w:val="00121A1E"/>
    <w:rsid w:val="00147181"/>
    <w:rsid w:val="001477A5"/>
    <w:rsid w:val="00157CC2"/>
    <w:rsid w:val="001840EC"/>
    <w:rsid w:val="0019304A"/>
    <w:rsid w:val="001935A3"/>
    <w:rsid w:val="00195687"/>
    <w:rsid w:val="001A560D"/>
    <w:rsid w:val="001B0195"/>
    <w:rsid w:val="001B32B4"/>
    <w:rsid w:val="001C029C"/>
    <w:rsid w:val="001C2216"/>
    <w:rsid w:val="001C2B1E"/>
    <w:rsid w:val="001D286A"/>
    <w:rsid w:val="001E1EBF"/>
    <w:rsid w:val="001F2918"/>
    <w:rsid w:val="001F551C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3C40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A2C61"/>
    <w:rsid w:val="003A3AE4"/>
    <w:rsid w:val="003A6406"/>
    <w:rsid w:val="003B77B9"/>
    <w:rsid w:val="003C7BBE"/>
    <w:rsid w:val="003D4121"/>
    <w:rsid w:val="003E2C9E"/>
    <w:rsid w:val="003E6E33"/>
    <w:rsid w:val="003F712D"/>
    <w:rsid w:val="00400A3C"/>
    <w:rsid w:val="0040406E"/>
    <w:rsid w:val="0041098E"/>
    <w:rsid w:val="00412199"/>
    <w:rsid w:val="00412440"/>
    <w:rsid w:val="0041362F"/>
    <w:rsid w:val="0042328B"/>
    <w:rsid w:val="00432FC1"/>
    <w:rsid w:val="004354A8"/>
    <w:rsid w:val="00442685"/>
    <w:rsid w:val="00447364"/>
    <w:rsid w:val="00452C21"/>
    <w:rsid w:val="004539DC"/>
    <w:rsid w:val="00456EEE"/>
    <w:rsid w:val="004621E2"/>
    <w:rsid w:val="00463521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E50C4"/>
    <w:rsid w:val="004F427A"/>
    <w:rsid w:val="004F531E"/>
    <w:rsid w:val="00511A66"/>
    <w:rsid w:val="00517473"/>
    <w:rsid w:val="005356FA"/>
    <w:rsid w:val="00535B82"/>
    <w:rsid w:val="00535F3F"/>
    <w:rsid w:val="0054555A"/>
    <w:rsid w:val="00555840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182D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1703"/>
    <w:rsid w:val="00676499"/>
    <w:rsid w:val="006778BE"/>
    <w:rsid w:val="00681597"/>
    <w:rsid w:val="006830AB"/>
    <w:rsid w:val="00686B18"/>
    <w:rsid w:val="006B5A36"/>
    <w:rsid w:val="006B61FB"/>
    <w:rsid w:val="006B7E03"/>
    <w:rsid w:val="006D0D14"/>
    <w:rsid w:val="006E190E"/>
    <w:rsid w:val="006F13B1"/>
    <w:rsid w:val="006F3997"/>
    <w:rsid w:val="006F5F04"/>
    <w:rsid w:val="00700E0B"/>
    <w:rsid w:val="00701116"/>
    <w:rsid w:val="00707D3E"/>
    <w:rsid w:val="00715776"/>
    <w:rsid w:val="00717967"/>
    <w:rsid w:val="0073382F"/>
    <w:rsid w:val="007352FA"/>
    <w:rsid w:val="00760892"/>
    <w:rsid w:val="007610B6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665F4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6C3C"/>
    <w:rsid w:val="009273C1"/>
    <w:rsid w:val="00942E3B"/>
    <w:rsid w:val="009470EA"/>
    <w:rsid w:val="00947DB2"/>
    <w:rsid w:val="00950013"/>
    <w:rsid w:val="00955F59"/>
    <w:rsid w:val="00956872"/>
    <w:rsid w:val="0095752B"/>
    <w:rsid w:val="00962635"/>
    <w:rsid w:val="009631E9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1C83"/>
    <w:rsid w:val="00A74C06"/>
    <w:rsid w:val="00A826A8"/>
    <w:rsid w:val="00A85FDE"/>
    <w:rsid w:val="00A87789"/>
    <w:rsid w:val="00A95ABB"/>
    <w:rsid w:val="00AB05A3"/>
    <w:rsid w:val="00AB1217"/>
    <w:rsid w:val="00AB3752"/>
    <w:rsid w:val="00AC0730"/>
    <w:rsid w:val="00AD381A"/>
    <w:rsid w:val="00AF4798"/>
    <w:rsid w:val="00AF5F58"/>
    <w:rsid w:val="00AF787C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3AAD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1BB5"/>
    <w:rsid w:val="00C34C86"/>
    <w:rsid w:val="00C360CB"/>
    <w:rsid w:val="00C40CB0"/>
    <w:rsid w:val="00C63A29"/>
    <w:rsid w:val="00C96CCA"/>
    <w:rsid w:val="00CA0FA6"/>
    <w:rsid w:val="00CB502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4008"/>
    <w:rsid w:val="00D97943"/>
    <w:rsid w:val="00DA088C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6C2D"/>
    <w:rsid w:val="00E37BA7"/>
    <w:rsid w:val="00E44B12"/>
    <w:rsid w:val="00E51731"/>
    <w:rsid w:val="00E61468"/>
    <w:rsid w:val="00E6268A"/>
    <w:rsid w:val="00E73CF7"/>
    <w:rsid w:val="00E82089"/>
    <w:rsid w:val="00E901D7"/>
    <w:rsid w:val="00E90506"/>
    <w:rsid w:val="00E91F39"/>
    <w:rsid w:val="00E91FA0"/>
    <w:rsid w:val="00EA047A"/>
    <w:rsid w:val="00EA442E"/>
    <w:rsid w:val="00EB140E"/>
    <w:rsid w:val="00EB141C"/>
    <w:rsid w:val="00EB5350"/>
    <w:rsid w:val="00EC2470"/>
    <w:rsid w:val="00EC2B0D"/>
    <w:rsid w:val="00EC4A40"/>
    <w:rsid w:val="00EC5304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05139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65FB8"/>
    <w:rsid w:val="00F6716A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A67"/>
    <w:rsid w:val="00FC6BA3"/>
    <w:rsid w:val="00FD20E2"/>
    <w:rsid w:val="00FE10A4"/>
    <w:rsid w:val="00FE281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113</cp:revision>
  <cp:lastPrinted>2014-04-26T17:45:00Z</cp:lastPrinted>
  <dcterms:created xsi:type="dcterms:W3CDTF">2021-01-03T16:50:00Z</dcterms:created>
  <dcterms:modified xsi:type="dcterms:W3CDTF">2022-06-09T04:43:00Z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