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eastAsia="cs-CZ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BodyText"/>
        <w:spacing w:before="7"/>
        <w:rPr>
          <w:rFonts w:ascii="Times New Roman" w:hAnsi="Times New Roman"/>
          <w:sz w:val="18"/>
        </w:rPr>
      </w:pPr>
    </w:p>
    <w:p w14:paraId="04014752" w14:textId="7DF56892" w:rsidR="003F1F77" w:rsidRPr="00243AD1" w:rsidRDefault="00C4483A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0E32FB">
        <w:rPr>
          <w:w w:val="105"/>
        </w:rPr>
        <w:t>2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0E32FB">
        <w:rPr>
          <w:w w:val="105"/>
        </w:rPr>
        <w:t>3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46746AD2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243AD1">
        <w:rPr>
          <w:b/>
          <w:w w:val="110"/>
          <w:sz w:val="33"/>
        </w:rPr>
        <w:t>I</w:t>
      </w:r>
      <w:r w:rsidR="00957FE3">
        <w:rPr>
          <w:b/>
          <w:w w:val="110"/>
          <w:sz w:val="33"/>
        </w:rPr>
        <w:t>V</w:t>
      </w:r>
    </w:p>
    <w:p w14:paraId="529F2BB5" w14:textId="77777777" w:rsidR="003F1F77" w:rsidRPr="00243AD1" w:rsidRDefault="003F1F77">
      <w:pPr>
        <w:pStyle w:val="BodyText"/>
        <w:rPr>
          <w:b/>
          <w:sz w:val="38"/>
        </w:rPr>
      </w:pPr>
    </w:p>
    <w:p w14:paraId="3F5CA209" w14:textId="073E8747" w:rsidR="003F1F77" w:rsidRPr="00243AD1" w:rsidRDefault="00C4483A" w:rsidP="00D210BD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6466D7">
        <w:rPr>
          <w:b/>
          <w:w w:val="105"/>
          <w:sz w:val="33"/>
        </w:rPr>
        <w:t>Šimon Kochánek</w:t>
      </w:r>
    </w:p>
    <w:p w14:paraId="5FC10098" w14:textId="53FEAE46" w:rsidR="00243AD1" w:rsidRDefault="00C4483A" w:rsidP="00440059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0FA1948E" w:rsidR="003F1F77" w:rsidRPr="00243AD1" w:rsidRDefault="00C4483A" w:rsidP="00440059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 w:rsidR="00243AD1">
        <w:rPr>
          <w:w w:val="105"/>
        </w:rPr>
        <w:tab/>
      </w:r>
      <w:r w:rsidR="001045D3">
        <w:rPr>
          <w:b/>
          <w:w w:val="105"/>
        </w:rPr>
        <w:t xml:space="preserve">NIS2 a dopady pro praxi zejména ve zdravotnictví, dopad na Zákon o kybernetické bezpečnosti </w:t>
      </w:r>
      <w:r w:rsidR="003F2010">
        <w:rPr>
          <w:w w:val="105"/>
        </w:rPr>
        <w:t xml:space="preserve"> </w:t>
      </w:r>
    </w:p>
    <w:p w14:paraId="6F0A701D" w14:textId="617DA274" w:rsidR="003F1F77" w:rsidRPr="00243AD1" w:rsidRDefault="00C4483A" w:rsidP="003F2010">
      <w:pPr>
        <w:pStyle w:val="BodyText"/>
        <w:tabs>
          <w:tab w:val="left" w:pos="3150"/>
        </w:tabs>
        <w:ind w:left="3150" w:right="-60" w:hanging="2977"/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="006466D7">
        <w:rPr>
          <w:rStyle w:val="jlqj4b"/>
          <w:b/>
          <w:lang w:val="en"/>
        </w:rPr>
        <w:t xml:space="preserve">NIS2 and its causes on healthcare and other departments, </w:t>
      </w:r>
      <w:r w:rsidR="00225A55">
        <w:rPr>
          <w:rStyle w:val="jlqj4b"/>
          <w:b/>
          <w:lang w:val="en"/>
        </w:rPr>
        <w:t>n</w:t>
      </w:r>
      <w:r w:rsidR="006466D7">
        <w:rPr>
          <w:rStyle w:val="jlqj4b"/>
          <w:b/>
          <w:lang w:val="en"/>
        </w:rPr>
        <w:t>ew Cybersecurity law</w:t>
      </w:r>
    </w:p>
    <w:p w14:paraId="7E7C0B48" w14:textId="7D25FFE9" w:rsidR="003F1F77" w:rsidRDefault="00C4483A">
      <w:pPr>
        <w:pStyle w:val="Body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35D77C2A" w14:textId="31E58BE0" w:rsidR="001045D3" w:rsidRDefault="001045D3" w:rsidP="001045D3">
      <w:pPr>
        <w:pStyle w:val="BodyText"/>
        <w:tabs>
          <w:tab w:val="left" w:pos="3162"/>
        </w:tabs>
        <w:spacing w:before="89"/>
        <w:ind w:left="162"/>
        <w:jc w:val="both"/>
        <w:rPr>
          <w:w w:val="105"/>
        </w:rPr>
      </w:pPr>
      <w:r w:rsidRPr="001045D3">
        <w:rPr>
          <w:w w:val="105"/>
        </w:rPr>
        <w:t>Student představí NIS2 a také nový ZoKB</w:t>
      </w:r>
      <w:r w:rsidR="00240C7B">
        <w:rPr>
          <w:w w:val="105"/>
        </w:rPr>
        <w:t>. P</w:t>
      </w:r>
      <w:r>
        <w:rPr>
          <w:w w:val="105"/>
        </w:rPr>
        <w:t xml:space="preserve">oté </w:t>
      </w:r>
      <w:r w:rsidRPr="001045D3">
        <w:rPr>
          <w:w w:val="105"/>
        </w:rPr>
        <w:t>zpracuje rešerši na změny řízení Kybernetické bezpečnosti ve zdravotních zařízeních, které</w:t>
      </w:r>
      <w:r w:rsidR="00240C7B">
        <w:rPr>
          <w:w w:val="105"/>
        </w:rPr>
        <w:t xml:space="preserve"> budou podléhat novémeu zákonu</w:t>
      </w:r>
      <w:r w:rsidRPr="001045D3">
        <w:rPr>
          <w:w w:val="105"/>
        </w:rPr>
        <w:t>.</w:t>
      </w:r>
      <w:r>
        <w:rPr>
          <w:w w:val="105"/>
        </w:rPr>
        <w:t xml:space="preserve"> NIS2 začne platit od roku 2024 a výrazně zasáhne do oblast IT bezpečnosti.</w:t>
      </w:r>
    </w:p>
    <w:p w14:paraId="3666B979" w14:textId="77777777" w:rsidR="001045D3" w:rsidRPr="001045D3" w:rsidRDefault="001045D3" w:rsidP="001045D3">
      <w:pPr>
        <w:pStyle w:val="BodyText"/>
        <w:tabs>
          <w:tab w:val="left" w:pos="3162"/>
        </w:tabs>
        <w:spacing w:before="89"/>
        <w:ind w:left="162"/>
        <w:jc w:val="both"/>
        <w:rPr>
          <w:w w:val="105"/>
        </w:rPr>
      </w:pPr>
    </w:p>
    <w:p w14:paraId="59190FCB" w14:textId="77777777" w:rsidR="004769F4" w:rsidRDefault="004769F4" w:rsidP="004769F4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317FC2A0" w14:textId="77777777" w:rsidR="004769F4" w:rsidRDefault="004769F4" w:rsidP="004769F4">
      <w:pPr>
        <w:pStyle w:val="BodyText"/>
        <w:spacing w:before="6"/>
        <w:rPr>
          <w:sz w:val="24"/>
        </w:rPr>
      </w:pPr>
    </w:p>
    <w:p w14:paraId="66C286CC" w14:textId="3115D743" w:rsidR="00A824C8" w:rsidRPr="00A824C8" w:rsidRDefault="00A824C8" w:rsidP="00A824C8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5" w:history="1">
        <w:r w:rsidRPr="00781CF5">
          <w:rPr>
            <w:rStyle w:val="Hyperlink"/>
            <w:sz w:val="19"/>
            <w:szCs w:val="19"/>
          </w:rPr>
          <w:t>https://osveta.nukib.cz/course/view.php?id=145</w:t>
        </w:r>
      </w:hyperlink>
    </w:p>
    <w:p w14:paraId="610B91E7" w14:textId="75A0DFFF" w:rsidR="000E32FB" w:rsidRDefault="00000000" w:rsidP="004769F4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6" w:history="1">
        <w:r w:rsidR="001045D3" w:rsidRPr="0084401E">
          <w:rPr>
            <w:rStyle w:val="Hyperlink"/>
            <w:sz w:val="19"/>
            <w:szCs w:val="19"/>
          </w:rPr>
          <w:t>https://www.isvs.cz/smernice-nis-2-koho-se-tyka-a-jak-ji-aplikovat-v-praxi/</w:t>
        </w:r>
      </w:hyperlink>
    </w:p>
    <w:p w14:paraId="1EDC689B" w14:textId="24CC509D" w:rsidR="001045D3" w:rsidRDefault="00000000" w:rsidP="004769F4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7" w:history="1">
        <w:r w:rsidR="00A35684" w:rsidRPr="004E5024">
          <w:rPr>
            <w:rStyle w:val="Hyperlink"/>
            <w:sz w:val="19"/>
            <w:szCs w:val="19"/>
          </w:rPr>
          <w:t>https://www.epravo.cz/top/clanky/nis2-nova-regulace-kyberneticke-bezpecnosti-veu-115691.html</w:t>
        </w:r>
      </w:hyperlink>
    </w:p>
    <w:p w14:paraId="53787643" w14:textId="1C0BE9C3" w:rsidR="00655755" w:rsidRPr="006409B5" w:rsidRDefault="00000000" w:rsidP="006409B5">
      <w:pPr>
        <w:numPr>
          <w:ilvl w:val="0"/>
          <w:numId w:val="2"/>
        </w:numPr>
        <w:tabs>
          <w:tab w:val="left" w:pos="0"/>
        </w:tabs>
        <w:spacing w:before="33" w:line="276" w:lineRule="auto"/>
        <w:ind w:left="426" w:right="-64" w:hanging="294"/>
        <w:rPr>
          <w:sz w:val="19"/>
          <w:szCs w:val="19"/>
        </w:rPr>
      </w:pPr>
      <w:hyperlink r:id="rId8" w:history="1">
        <w:r w:rsidR="00655755" w:rsidRPr="004E5024">
          <w:rPr>
            <w:rStyle w:val="Hyperlink"/>
            <w:sz w:val="19"/>
            <w:szCs w:val="19"/>
          </w:rPr>
          <w:t>https://nis2.tech/</w:t>
        </w:r>
      </w:hyperlink>
    </w:p>
    <w:p w14:paraId="69F0979C" w14:textId="06602AD7" w:rsidR="009A4B7B" w:rsidRPr="009A4B7B" w:rsidRDefault="009A4B7B" w:rsidP="009A4B7B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3A8F739A" w14:textId="77777777" w:rsidR="000558D1" w:rsidRP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3958634A" w:rsidR="003F1F77" w:rsidRPr="00D210BD" w:rsidRDefault="00C4483A" w:rsidP="00D210BD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0E32FB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6EB82172" w14:textId="5C184AB6" w:rsidR="00166201" w:rsidRDefault="00C4483A" w:rsidP="00A515DF">
      <w:pPr>
        <w:pStyle w:val="BodyText"/>
        <w:spacing w:before="185"/>
        <w:ind w:left="110"/>
        <w:rPr>
          <w:sz w:val="20"/>
        </w:rPr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0E32FB">
        <w:t>12.3.2023</w:t>
      </w:r>
    </w:p>
    <w:p w14:paraId="68673D01" w14:textId="77777777" w:rsidR="00166201" w:rsidRPr="00243AD1" w:rsidRDefault="00166201">
      <w:pPr>
        <w:pStyle w:val="Body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BodyText"/>
        <w:rPr>
          <w:sz w:val="26"/>
        </w:rPr>
      </w:pPr>
    </w:p>
    <w:p w14:paraId="747901AE" w14:textId="77777777" w:rsidR="003F1F77" w:rsidRPr="00243AD1" w:rsidRDefault="003F1F77">
      <w:pPr>
        <w:pStyle w:val="BodyText"/>
        <w:rPr>
          <w:sz w:val="26"/>
        </w:rPr>
      </w:pPr>
    </w:p>
    <w:p w14:paraId="61426C24" w14:textId="77777777" w:rsidR="003F1F77" w:rsidRPr="00243AD1" w:rsidRDefault="003F1F77">
      <w:pPr>
        <w:pStyle w:val="BodyText"/>
        <w:rPr>
          <w:sz w:val="26"/>
        </w:rPr>
      </w:pPr>
    </w:p>
    <w:p w14:paraId="4C3B8BB3" w14:textId="77777777" w:rsidR="003F1F77" w:rsidRPr="00243AD1" w:rsidRDefault="003F1F77">
      <w:pPr>
        <w:pStyle w:val="BodyText"/>
        <w:rPr>
          <w:sz w:val="26"/>
        </w:rPr>
      </w:pPr>
    </w:p>
    <w:p w14:paraId="236B3E13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BodyText"/>
      </w:pPr>
    </w:p>
    <w:p w14:paraId="2EE5DF9C" w14:textId="77777777" w:rsidR="003F1F77" w:rsidRPr="00243AD1" w:rsidRDefault="003F1F77">
      <w:pPr>
        <w:pStyle w:val="BodyText"/>
      </w:pPr>
    </w:p>
    <w:p w14:paraId="43C032DF" w14:textId="77777777" w:rsidR="003F1F77" w:rsidRPr="00243AD1" w:rsidRDefault="003F1F77">
      <w:pPr>
        <w:pStyle w:val="BodyText"/>
      </w:pPr>
    </w:p>
    <w:p w14:paraId="3F6C6EA0" w14:textId="77777777" w:rsidR="003F1F77" w:rsidRPr="00243AD1" w:rsidRDefault="003F1F77">
      <w:pPr>
        <w:pStyle w:val="BodyText"/>
      </w:pPr>
    </w:p>
    <w:p w14:paraId="3DDCD341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BodyText"/>
      </w:pPr>
    </w:p>
    <w:p w14:paraId="0F1FE41C" w14:textId="77777777" w:rsidR="003F1F77" w:rsidRPr="00243AD1" w:rsidRDefault="003F1F77">
      <w:pPr>
        <w:pStyle w:val="BodyText"/>
      </w:pPr>
    </w:p>
    <w:p w14:paraId="557EBB12" w14:textId="77777777" w:rsidR="003F1F77" w:rsidRPr="00243AD1" w:rsidRDefault="003F1F77">
      <w:pPr>
        <w:pStyle w:val="BodyText"/>
        <w:rPr>
          <w:w w:val="105"/>
        </w:rPr>
      </w:pPr>
    </w:p>
    <w:p w14:paraId="79DB8484" w14:textId="77777777" w:rsidR="003F1F77" w:rsidRPr="00243AD1" w:rsidRDefault="003F1F77">
      <w:pPr>
        <w:pStyle w:val="BodyText"/>
        <w:rPr>
          <w:w w:val="105"/>
        </w:rPr>
      </w:pPr>
    </w:p>
    <w:p w14:paraId="7577BA21" w14:textId="77777777" w:rsidR="003F1F77" w:rsidRPr="00243AD1" w:rsidRDefault="003F1F77">
      <w:pPr>
        <w:pStyle w:val="BodyText"/>
        <w:rPr>
          <w:w w:val="105"/>
        </w:rPr>
      </w:pPr>
    </w:p>
    <w:p w14:paraId="0D2C7FB3" w14:textId="77777777" w:rsidR="00DB7BFE" w:rsidRPr="00243AD1" w:rsidRDefault="00DB7BFE">
      <w:pPr>
        <w:pStyle w:val="BodyText"/>
        <w:rPr>
          <w:w w:val="105"/>
        </w:rPr>
      </w:pPr>
    </w:p>
    <w:p w14:paraId="7F2BA54E" w14:textId="77777777" w:rsidR="00D96531" w:rsidRPr="00243AD1" w:rsidRDefault="00D96531">
      <w:pPr>
        <w:pStyle w:val="BodyText"/>
        <w:rPr>
          <w:w w:val="105"/>
        </w:rPr>
      </w:pPr>
    </w:p>
    <w:p w14:paraId="487192C7" w14:textId="77777777" w:rsidR="00D96531" w:rsidRPr="00243AD1" w:rsidRDefault="00D96531">
      <w:pPr>
        <w:pStyle w:val="BodyText"/>
        <w:rPr>
          <w:w w:val="105"/>
        </w:rPr>
      </w:pPr>
    </w:p>
    <w:p w14:paraId="4818B66E" w14:textId="77777777" w:rsidR="003F1F77" w:rsidRPr="00243AD1" w:rsidRDefault="00DB7BFE">
      <w:pPr>
        <w:pStyle w:val="Body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Body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Body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 w16cid:durableId="1060518864">
    <w:abstractNumId w:val="0"/>
  </w:num>
  <w:num w:numId="2" w16cid:durableId="38502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0E32FB"/>
    <w:rsid w:val="001045D3"/>
    <w:rsid w:val="00166201"/>
    <w:rsid w:val="001867CA"/>
    <w:rsid w:val="00225A55"/>
    <w:rsid w:val="00235327"/>
    <w:rsid w:val="00236DAC"/>
    <w:rsid w:val="00240C7B"/>
    <w:rsid w:val="00243AD1"/>
    <w:rsid w:val="002A59A6"/>
    <w:rsid w:val="002C350F"/>
    <w:rsid w:val="0033546E"/>
    <w:rsid w:val="0039458A"/>
    <w:rsid w:val="003A0E81"/>
    <w:rsid w:val="003B30EA"/>
    <w:rsid w:val="003D5FB6"/>
    <w:rsid w:val="003F1F77"/>
    <w:rsid w:val="003F2010"/>
    <w:rsid w:val="00440059"/>
    <w:rsid w:val="004769F4"/>
    <w:rsid w:val="004B41D0"/>
    <w:rsid w:val="006409B5"/>
    <w:rsid w:val="006466D7"/>
    <w:rsid w:val="00655755"/>
    <w:rsid w:val="007D4BA1"/>
    <w:rsid w:val="00857BA3"/>
    <w:rsid w:val="00877E5F"/>
    <w:rsid w:val="00882026"/>
    <w:rsid w:val="00957FE3"/>
    <w:rsid w:val="009605FE"/>
    <w:rsid w:val="009A4B7B"/>
    <w:rsid w:val="00A35684"/>
    <w:rsid w:val="00A515DF"/>
    <w:rsid w:val="00A824C8"/>
    <w:rsid w:val="00A854D9"/>
    <w:rsid w:val="00A94499"/>
    <w:rsid w:val="00AD26E0"/>
    <w:rsid w:val="00B41AE5"/>
    <w:rsid w:val="00BB03D0"/>
    <w:rsid w:val="00BF3DDB"/>
    <w:rsid w:val="00C4483A"/>
    <w:rsid w:val="00D210BD"/>
    <w:rsid w:val="00D96531"/>
    <w:rsid w:val="00DA35EF"/>
    <w:rsid w:val="00DB7BFE"/>
    <w:rsid w:val="00EB0F24"/>
    <w:rsid w:val="00F70EFB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s-CZ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458A"/>
    <w:rPr>
      <w:color w:val="0000FF" w:themeColor="hyperlink"/>
      <w:u w:val="single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FE"/>
    <w:rPr>
      <w:color w:val="800080" w:themeColor="followedHyperlink"/>
      <w:u w:val="single"/>
    </w:rPr>
  </w:style>
  <w:style w:type="character" w:customStyle="1" w:styleId="jlqj4b">
    <w:name w:val="jlqj4b"/>
    <w:basedOn w:val="DefaultParagraphFont"/>
    <w:rsid w:val="003F2010"/>
  </w:style>
  <w:style w:type="character" w:styleId="UnresolvedMention">
    <w:name w:val="Unresolved Mention"/>
    <w:basedOn w:val="DefaultParagraphFont"/>
    <w:uiPriority w:val="99"/>
    <w:semiHidden/>
    <w:unhideWhenUsed/>
    <w:rsid w:val="000E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s2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avo.cz/top/clanky/nis2-nova-regulace-kyberneticke-bezpecnosti-veu-1156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vs.cz/smernice-nis-2-koho-se-tyka-a-jak-ji-aplikovat-v-praxi/" TargetMode="External"/><Relationship Id="rId5" Type="http://schemas.openxmlformats.org/officeDocument/2006/relationships/hyperlink" Target="https://osveta.nukib.cz/course/view.php?id=1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10</cp:revision>
  <cp:lastPrinted>2017-10-19T16:15:00Z</cp:lastPrinted>
  <dcterms:created xsi:type="dcterms:W3CDTF">2023-03-12T16:01:00Z</dcterms:created>
  <dcterms:modified xsi:type="dcterms:W3CDTF">2023-03-14T19:34:00Z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