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Microsoft YaHei" w:hAnsi="Microsoft YaHei"/>
          <w:b/>
          <w:color w:val="142850"/>
          <w:sz w:val="32"/>
          <w:rFonts w:eastAsia="Microsoft YaHei"/>
        </w:rPr>
        <w:t>县域劳动力市场结构性错配研究——成员B交付说明文档</w:t>
      </w:r>
    </w:p>
    <w:p>
      <w:pPr>
        <w:spacing w:after="360"/>
        <w:jc w:val="center"/>
      </w:pPr>
      <w:r>
        <w:rPr>
          <w:rFonts w:ascii="Microsoft YaHei" w:hAnsi="Microsoft YaHei"/>
          <w:b w:val="0"/>
          <w:color w:val="646464"/>
          <w:sz w:val="24"/>
          <w:rFonts w:eastAsia="Microsoft YaHei"/>
        </w:rPr>
        <w:t>县域学历结构与宏观控制变量数据口径、来源及区划对照说明</w:t>
      </w:r>
    </w:p>
    <w:p>
      <w:pPr>
        <w:spacing w:before="280" w:after="120"/>
      </w:pPr>
      <w:r>
        <w:rPr>
          <w:rFonts w:ascii="Microsoft YaHei" w:hAnsi="Microsoft YaHei"/>
          <w:b/>
          <w:color w:val="143C78"/>
          <w:sz w:val="26"/>
          <w:rFonts w:eastAsia="Microsoft YaHei"/>
        </w:rPr>
        <w:t>一、 数据范围与交付资产清单</w:t>
      </w:r>
    </w:p>
    <w:p>
      <w:pPr>
        <w:spacing w:after="120"/>
      </w:pPr>
      <w:r>
        <w:rPr>
          <w:rFonts w:ascii="Microsoft YaHei" w:hAnsi="Microsoft YaHei"/>
          <w:b w:val="0"/>
          <w:color w:val="000000"/>
          <w:sz w:val="21"/>
          <w:rFonts w:eastAsia="Microsoft YaHei"/>
        </w:rPr>
        <w:t>根据课题组《任务安排》分工要求，成员B负责整理提供县域学历存量结构、宏观控制变量及行政区划跨期对照字典。本次交付成果分为桌面提交端与项目底层工程两级：</w:t>
      </w:r>
    </w:p>
    <w:p>
      <w:pPr>
        <w:pStyle w:val="ListBullet"/>
        <w:spacing w:after="80"/>
      </w:pPr>
      <w:r>
        <w:rPr>
          <w:rFonts w:ascii="Microsoft YaHei" w:hAnsi="Microsoft YaHei"/>
          <w:b/>
          <w:color w:val="000000"/>
          <w:sz w:val="21"/>
          <w:rFonts w:eastAsia="Microsoft YaHei"/>
        </w:rPr>
        <w:t>【成员B_县域学历结构与宏观控制变量表.xlsx】：</w:t>
      </w:r>
      <w:r>
        <w:rPr>
          <w:rFonts w:ascii="Microsoft YaHei" w:hAnsi="Microsoft YaHei"/>
          <w:b w:val="0"/>
          <w:color w:val="000000"/>
          <w:sz w:val="21"/>
          <w:rFonts w:eastAsia="Microsoft YaHei"/>
        </w:rPr>
        <w:t>包含核心解释变量（平均受教育年限、大专及以上学历占比）、全县常住人口、分学历层次人口数，以及经济发展水平、产业结构、全社会就业人数、财政收入、规上工业企业数等控制变量。工作簿内特设【试分析三省（豫浙川286县）】与【五省全量版（413县）】双版本。</w:t>
      </w:r>
    </w:p>
    <w:p>
      <w:pPr>
        <w:pStyle w:val="ListBullet"/>
        <w:spacing w:after="80"/>
      </w:pPr>
      <w:r>
        <w:rPr>
          <w:rFonts w:ascii="Microsoft YaHei" w:hAnsi="Microsoft YaHei"/>
          <w:b/>
          <w:color w:val="000000"/>
          <w:sz w:val="21"/>
          <w:rFonts w:eastAsia="Microsoft YaHei"/>
        </w:rPr>
        <w:t>【成员B_县级代码对照表.xlsx】：</w:t>
      </w:r>
      <w:r>
        <w:rPr>
          <w:rFonts w:ascii="Microsoft YaHei" w:hAnsi="Microsoft YaHei"/>
          <w:b w:val="0"/>
          <w:color w:val="000000"/>
          <w:sz w:val="21"/>
          <w:rFonts w:eastAsia="Microsoft YaHei"/>
        </w:rPr>
        <w:t>涵盖 413 个县级行政区，建立 2026 年现行行政区划代码与 2020 年第七次全国人口普查分县代码的唯一映射字典，解决撤县设区、撤县设市导致的跨期区划代码跳变。</w:t>
      </w:r>
    </w:p>
    <w:p>
      <w:pPr>
        <w:pStyle w:val="ListBullet"/>
        <w:spacing w:after="80"/>
      </w:pPr>
      <w:r>
        <w:rPr>
          <w:rFonts w:ascii="Microsoft YaHei" w:hAnsi="Microsoft YaHei"/>
          <w:b/>
          <w:color w:val="000000"/>
          <w:sz w:val="21"/>
          <w:rFonts w:eastAsia="Microsoft YaHei"/>
        </w:rPr>
        <w:t>【成员B_变量定义与口径说明.docx】：</w:t>
      </w:r>
      <w:r>
        <w:rPr>
          <w:rFonts w:ascii="Microsoft YaHei" w:hAnsi="Microsoft YaHei"/>
          <w:b w:val="0"/>
          <w:color w:val="000000"/>
          <w:sz w:val="21"/>
          <w:rFonts w:eastAsia="Microsoft YaHei"/>
        </w:rPr>
        <w:t>本说明文档，详尽阐述各变量测算口径、教育部官方折算赋权标准、数据源出处及求职者数据可得性论证。</w:t>
      </w:r>
    </w:p>
    <w:p>
      <w:pPr>
        <w:spacing w:before="280" w:after="120"/>
      </w:pPr>
      <w:r>
        <w:rPr>
          <w:rFonts w:ascii="Microsoft YaHei" w:hAnsi="Microsoft YaHei"/>
          <w:b/>
          <w:color w:val="143C78"/>
          <w:sz w:val="26"/>
          <w:rFonts w:eastAsia="Microsoft YaHei"/>
        </w:rPr>
        <w:t>二、 核心解释变量测算公式与标准</w:t>
      </w:r>
    </w:p>
    <w:p>
      <w:r>
        <w:rPr>
          <w:rFonts w:ascii="Microsoft YaHei" w:hAnsi="Microsoft YaHei"/>
          <w:b w:val="0"/>
          <w:color w:val="000000"/>
          <w:sz w:val="21"/>
          <w:rFonts w:eastAsia="Microsoft YaHei"/>
        </w:rPr>
        <w:t>1. 县级平均受教育年限（Edu_Years，连续变量，单位：年）</w:t>
        <w:br/>
        <w:t>严格采用教育部与国家统计局官方通用的人口受教育年限赋权折算标准：</w:t>
      </w:r>
    </w:p>
    <w:p>
      <w:pPr>
        <w:spacing w:after="120"/>
        <w:ind w:left="432"/>
      </w:pPr>
      <w:r>
        <w:rPr>
          <w:rFonts w:ascii="Microsoft YaHei" w:hAnsi="Microsoft YaHei"/>
          <w:b/>
          <w:color w:val="003264"/>
          <w:sz w:val="20"/>
          <w:rFonts w:eastAsia="Microsoft YaHei"/>
        </w:rPr>
        <w:t>• 文盲（未上过学）：0 年</w:t>
        <w:br/>
        <w:t>• 小学毕业：6 年</w:t>
        <w:br/>
        <w:t>• 初中毕业：9 年</w:t>
        <w:br/>
        <w:t>• 高中阶段（含普高、中专、职高、技校）：12 年</w:t>
        <w:br/>
        <w:t>• 大专及以上（含专科、本科、研究生）：16 年</w:t>
        <w:br/>
        <w:t>计算公式：</w:t>
        <w:br/>
        <w:t>Edu_Years = (小学×6 + 初中×9 + 高中×12 + 大专及以上×16) / 6岁及以上常住人口</w:t>
      </w:r>
    </w:p>
    <w:p>
      <w:r>
        <w:rPr>
          <w:rFonts w:ascii="Microsoft YaHei" w:hAnsi="Microsoft YaHei"/>
          <w:b w:val="0"/>
          <w:color w:val="000000"/>
          <w:sz w:val="21"/>
          <w:rFonts w:eastAsia="Microsoft YaHei"/>
        </w:rPr>
        <w:t>2. 大专及以上学历人口占比（Share_College，比例变量，取值 0~1）</w:t>
        <w:br/>
        <w:t>作为与成员A招聘被解释变量镜像对称的人力资本存量供给指标：</w:t>
        <w:br/>
        <w:t>Share_College = pop_college_above / pop_6plus_2020</w:t>
      </w:r>
    </w:p>
    <w:p>
      <w:pPr>
        <w:spacing w:before="280" w:after="120"/>
      </w:pPr>
      <w:r>
        <w:rPr>
          <w:rFonts w:ascii="Microsoft YaHei" w:hAnsi="Microsoft YaHei"/>
          <w:b/>
          <w:color w:val="143C78"/>
          <w:sz w:val="26"/>
          <w:rFonts w:eastAsia="Microsoft YaHei"/>
        </w:rPr>
        <w:t>三、 核心变量定义与数据来源字典</w:t>
      </w:r>
    </w:p>
    <w:tbl>
      <w:tblPr>
        <w:tblW w:type="auto" w:w="0"/>
        <w:jc w:val="center"/>
        <w:tblLook w:firstColumn="1" w:firstRow="1" w:lastColumn="0" w:lastRow="0" w:noHBand="0" w:noVBand="1" w:val="04A0"/>
      </w:tblPr>
      <w:tblGrid>
        <w:gridCol w:w="2340"/>
        <w:gridCol w:w="2340"/>
        <w:gridCol w:w="2340"/>
        <w:gridCol w:w="2340"/>
      </w:tblGrid>
      <w:tr>
        <w:tc>
          <w:tcPr>
            <w:tcW w:type="dxa" w:w="2340"/>
            <w:shd w:fill="EAEFF7"/>
          </w:tcPr>
          <w:p>
            <w:pPr>
              <w:spacing w:before="60" w:after="60"/>
            </w:pPr>
            <w:r>
              <w:rPr>
                <w:rFonts w:ascii="Microsoft YaHei" w:hAnsi="Microsoft YaHei"/>
                <w:b/>
                <w:color w:val="0A1E50"/>
                <w:sz w:val="19"/>
                <w:rFonts w:eastAsia="Microsoft YaHei"/>
              </w:rPr>
              <w:t>变量英文名</w:t>
            </w:r>
          </w:p>
        </w:tc>
        <w:tc>
          <w:tcPr>
            <w:tcW w:type="dxa" w:w="2340"/>
            <w:shd w:fill="EAEFF7"/>
          </w:tcPr>
          <w:p>
            <w:pPr>
              <w:spacing w:before="60" w:after="60"/>
            </w:pPr>
            <w:r>
              <w:rPr>
                <w:rFonts w:ascii="Microsoft YaHei" w:hAnsi="Microsoft YaHei"/>
                <w:b/>
                <w:color w:val="0A1E50"/>
                <w:sz w:val="19"/>
                <w:rFonts w:eastAsia="Microsoft YaHei"/>
              </w:rPr>
              <w:t>变量中文名</w:t>
            </w:r>
          </w:p>
        </w:tc>
        <w:tc>
          <w:tcPr>
            <w:tcW w:type="dxa" w:w="2340"/>
            <w:shd w:fill="EAEFF7"/>
          </w:tcPr>
          <w:p>
            <w:pPr>
              <w:spacing w:before="60" w:after="60"/>
            </w:pPr>
            <w:r>
              <w:rPr>
                <w:rFonts w:ascii="Microsoft YaHei" w:hAnsi="Microsoft YaHei"/>
                <w:b/>
                <w:color w:val="0A1E50"/>
                <w:sz w:val="19"/>
                <w:rFonts w:eastAsia="Microsoft YaHei"/>
              </w:rPr>
              <w:t>数据来源与测算口径</w:t>
            </w:r>
          </w:p>
        </w:tc>
        <w:tc>
          <w:tcPr>
            <w:tcW w:type="dxa" w:w="2340"/>
            <w:shd w:fill="EAEFF7"/>
          </w:tcPr>
          <w:p>
            <w:pPr>
              <w:spacing w:before="60" w:after="60"/>
            </w:pPr>
            <w:r>
              <w:rPr>
                <w:rFonts w:ascii="Microsoft YaHei" w:hAnsi="Microsoft YaHei"/>
                <w:b/>
                <w:color w:val="0A1E50"/>
                <w:sz w:val="19"/>
                <w:rFonts w:eastAsia="Microsoft YaHei"/>
              </w:rPr>
              <w:t>学术角色</w:t>
            </w:r>
          </w:p>
        </w:tc>
      </w:tr>
      <w:tr>
        <w:tc>
          <w:tcPr>
            <w:tcW w:type="dxa" w:w="2340"/>
          </w:tcPr>
          <w:p>
            <w:pPr>
              <w:spacing w:before="60" w:after="60"/>
            </w:pPr>
            <w:r>
              <w:rPr>
                <w:rFonts w:ascii="Microsoft YaHei" w:hAnsi="Microsoft YaHei"/>
                <w:b w:val="0"/>
                <w:color w:val="000000"/>
                <w:sz w:val="18"/>
                <w:rFonts w:eastAsia="Microsoft YaHei"/>
              </w:rPr>
              <w:t>county_code</w:t>
            </w:r>
          </w:p>
        </w:tc>
        <w:tc>
          <w:tcPr>
            <w:tcW w:type="dxa" w:w="2340"/>
          </w:tcPr>
          <w:p>
            <w:pPr>
              <w:spacing w:before="60" w:after="60"/>
            </w:pPr>
            <w:r>
              <w:rPr>
                <w:rFonts w:ascii="Microsoft YaHei" w:hAnsi="Microsoft YaHei"/>
                <w:b w:val="0"/>
                <w:color w:val="000000"/>
                <w:sz w:val="18"/>
                <w:rFonts w:eastAsia="Microsoft YaHei"/>
              </w:rPr>
              <w:t>现行县级代码</w:t>
            </w:r>
          </w:p>
        </w:tc>
        <w:tc>
          <w:tcPr>
            <w:tcW w:type="dxa" w:w="2340"/>
          </w:tcPr>
          <w:p>
            <w:pPr>
              <w:spacing w:before="60" w:after="60"/>
            </w:pPr>
            <w:r>
              <w:rPr>
                <w:rFonts w:ascii="Microsoft YaHei" w:hAnsi="Microsoft YaHei"/>
                <w:b w:val="0"/>
                <w:color w:val="000000"/>
                <w:sz w:val="18"/>
                <w:rFonts w:eastAsia="Microsoft YaHei"/>
              </w:rPr>
              <w:t>民政部 GB/T 2260 现行 6 位代码</w:t>
            </w:r>
          </w:p>
        </w:tc>
        <w:tc>
          <w:tcPr>
            <w:tcW w:type="dxa" w:w="2340"/>
          </w:tcPr>
          <w:p>
            <w:pPr>
              <w:spacing w:before="60" w:after="60"/>
            </w:pPr>
            <w:r>
              <w:rPr>
                <w:rFonts w:ascii="Microsoft YaHei" w:hAnsi="Microsoft YaHei"/>
                <w:b w:val="0"/>
                <w:color w:val="000000"/>
                <w:sz w:val="18"/>
                <w:rFonts w:eastAsia="Microsoft YaHei"/>
              </w:rPr>
              <w:t>主键匹配码</w:t>
            </w:r>
          </w:p>
        </w:tc>
      </w:tr>
      <w:tr>
        <w:tc>
          <w:tcPr>
            <w:tcW w:type="dxa" w:w="2340"/>
          </w:tcPr>
          <w:p>
            <w:pPr>
              <w:spacing w:before="60" w:after="60"/>
            </w:pPr>
            <w:r>
              <w:rPr>
                <w:rFonts w:ascii="Microsoft YaHei" w:hAnsi="Microsoft YaHei"/>
                <w:b w:val="0"/>
                <w:color w:val="000000"/>
                <w:sz w:val="18"/>
                <w:rFonts w:eastAsia="Microsoft YaHei"/>
              </w:rPr>
              <w:t>county_name</w:t>
            </w:r>
          </w:p>
        </w:tc>
        <w:tc>
          <w:tcPr>
            <w:tcW w:type="dxa" w:w="2340"/>
          </w:tcPr>
          <w:p>
            <w:pPr>
              <w:spacing w:before="60" w:after="60"/>
            </w:pPr>
            <w:r>
              <w:rPr>
                <w:rFonts w:ascii="Microsoft YaHei" w:hAnsi="Microsoft YaHei"/>
                <w:b w:val="0"/>
                <w:color w:val="000000"/>
                <w:sz w:val="18"/>
                <w:rFonts w:eastAsia="Microsoft YaHei"/>
              </w:rPr>
              <w:t>现行县级名称</w:t>
            </w:r>
          </w:p>
        </w:tc>
        <w:tc>
          <w:tcPr>
            <w:tcW w:type="dxa" w:w="2340"/>
          </w:tcPr>
          <w:p>
            <w:pPr>
              <w:spacing w:before="60" w:after="60"/>
            </w:pPr>
            <w:r>
              <w:rPr>
                <w:rFonts w:ascii="Microsoft YaHei" w:hAnsi="Microsoft YaHei"/>
                <w:b w:val="0"/>
                <w:color w:val="000000"/>
                <w:sz w:val="18"/>
                <w:rFonts w:eastAsia="Microsoft YaHei"/>
              </w:rPr>
              <w:t>民政部标准县/县级市/市辖区名称</w:t>
            </w:r>
          </w:p>
        </w:tc>
        <w:tc>
          <w:tcPr>
            <w:tcW w:type="dxa" w:w="2340"/>
          </w:tcPr>
          <w:p>
            <w:pPr>
              <w:spacing w:before="60" w:after="60"/>
            </w:pPr>
            <w:r>
              <w:rPr>
                <w:rFonts w:ascii="Microsoft YaHei" w:hAnsi="Microsoft YaHei"/>
                <w:b w:val="0"/>
                <w:color w:val="000000"/>
                <w:sz w:val="18"/>
                <w:rFonts w:eastAsia="Microsoft YaHei"/>
              </w:rPr>
              <w:t>区划标识</w:t>
            </w:r>
          </w:p>
        </w:tc>
      </w:tr>
      <w:tr>
        <w:tc>
          <w:tcPr>
            <w:tcW w:type="dxa" w:w="2340"/>
          </w:tcPr>
          <w:p>
            <w:pPr>
              <w:spacing w:before="60" w:after="60"/>
            </w:pPr>
            <w:r>
              <w:rPr>
                <w:rFonts w:ascii="Microsoft YaHei" w:hAnsi="Microsoft YaHei"/>
                <w:b w:val="0"/>
                <w:color w:val="000000"/>
                <w:sz w:val="18"/>
                <w:rFonts w:eastAsia="Microsoft YaHei"/>
              </w:rPr>
              <w:t>pop_total_2020</w:t>
            </w:r>
          </w:p>
        </w:tc>
        <w:tc>
          <w:tcPr>
            <w:tcW w:type="dxa" w:w="2340"/>
          </w:tcPr>
          <w:p>
            <w:pPr>
              <w:spacing w:before="60" w:after="60"/>
            </w:pPr>
            <w:r>
              <w:rPr>
                <w:rFonts w:ascii="Microsoft YaHei" w:hAnsi="Microsoft YaHei"/>
                <w:b w:val="0"/>
                <w:color w:val="000000"/>
                <w:sz w:val="18"/>
                <w:rFonts w:eastAsia="Microsoft YaHei"/>
              </w:rPr>
              <w:t>常住人口总量</w:t>
            </w:r>
          </w:p>
        </w:tc>
        <w:tc>
          <w:tcPr>
            <w:tcW w:type="dxa" w:w="2340"/>
          </w:tcPr>
          <w:p>
            <w:pPr>
              <w:spacing w:before="60" w:after="60"/>
            </w:pPr>
            <w:r>
              <w:rPr>
                <w:rFonts w:ascii="Microsoft YaHei" w:hAnsi="Microsoft YaHei"/>
                <w:b w:val="0"/>
                <w:color w:val="000000"/>
                <w:sz w:val="18"/>
                <w:rFonts w:eastAsia="Microsoft YaHei"/>
              </w:rPr>
              <w:t>《中国人口普查分县资料—2020》常住人口</w:t>
            </w:r>
          </w:p>
        </w:tc>
        <w:tc>
          <w:tcPr>
            <w:tcW w:type="dxa" w:w="2340"/>
          </w:tcPr>
          <w:p>
            <w:pPr>
              <w:spacing w:before="60" w:after="60"/>
            </w:pPr>
            <w:r>
              <w:rPr>
                <w:rFonts w:ascii="Microsoft YaHei" w:hAnsi="Microsoft YaHei"/>
                <w:b w:val="0"/>
                <w:color w:val="000000"/>
                <w:sz w:val="18"/>
                <w:rFonts w:eastAsia="Microsoft YaHei"/>
              </w:rPr>
              <w:t>人口基础</w:t>
            </w:r>
          </w:p>
        </w:tc>
      </w:tr>
      <w:tr>
        <w:tc>
          <w:tcPr>
            <w:tcW w:type="dxa" w:w="2340"/>
          </w:tcPr>
          <w:p>
            <w:pPr>
              <w:spacing w:before="60" w:after="60"/>
            </w:pPr>
            <w:r>
              <w:rPr>
                <w:rFonts w:ascii="Microsoft YaHei" w:hAnsi="Microsoft YaHei"/>
                <w:b w:val="0"/>
                <w:color w:val="000000"/>
                <w:sz w:val="18"/>
                <w:rFonts w:eastAsia="Microsoft YaHei"/>
              </w:rPr>
              <w:t>pop_6plus_2020</w:t>
            </w:r>
          </w:p>
        </w:tc>
        <w:tc>
          <w:tcPr>
            <w:tcW w:type="dxa" w:w="2340"/>
          </w:tcPr>
          <w:p>
            <w:pPr>
              <w:spacing w:before="60" w:after="60"/>
            </w:pPr>
            <w:r>
              <w:rPr>
                <w:rFonts w:ascii="Microsoft YaHei" w:hAnsi="Microsoft YaHei"/>
                <w:b w:val="0"/>
                <w:color w:val="000000"/>
                <w:sz w:val="18"/>
                <w:rFonts w:eastAsia="Microsoft YaHei"/>
              </w:rPr>
              <w:t>6岁及以上人口</w:t>
            </w:r>
          </w:p>
        </w:tc>
        <w:tc>
          <w:tcPr>
            <w:tcW w:type="dxa" w:w="2340"/>
          </w:tcPr>
          <w:p>
            <w:pPr>
              <w:spacing w:before="60" w:after="60"/>
            </w:pPr>
            <w:r>
              <w:rPr>
                <w:rFonts w:ascii="Microsoft YaHei" w:hAnsi="Microsoft YaHei"/>
                <w:b w:val="0"/>
                <w:color w:val="000000"/>
                <w:sz w:val="18"/>
                <w:rFonts w:eastAsia="Microsoft YaHei"/>
              </w:rPr>
              <w:t>七人普表1-8受教育程度统计对象基准分母</w:t>
            </w:r>
          </w:p>
        </w:tc>
        <w:tc>
          <w:tcPr>
            <w:tcW w:type="dxa" w:w="2340"/>
          </w:tcPr>
          <w:p>
            <w:pPr>
              <w:spacing w:before="60" w:after="60"/>
            </w:pPr>
            <w:r>
              <w:rPr>
                <w:rFonts w:ascii="Microsoft YaHei" w:hAnsi="Microsoft YaHei"/>
                <w:b w:val="0"/>
                <w:color w:val="000000"/>
                <w:sz w:val="18"/>
                <w:rFonts w:eastAsia="Microsoft YaHei"/>
              </w:rPr>
              <w:t>分母基准</w:t>
            </w:r>
          </w:p>
        </w:tc>
      </w:tr>
      <w:tr>
        <w:tc>
          <w:tcPr>
            <w:tcW w:type="dxa" w:w="2340"/>
          </w:tcPr>
          <w:p>
            <w:pPr>
              <w:spacing w:before="60" w:after="60"/>
            </w:pPr>
            <w:r>
              <w:rPr>
                <w:rFonts w:ascii="Microsoft YaHei" w:hAnsi="Microsoft YaHei"/>
                <w:b w:val="0"/>
                <w:color w:val="000000"/>
                <w:sz w:val="18"/>
                <w:rFonts w:eastAsia="Microsoft YaHei"/>
              </w:rPr>
              <w:t>share_college_census</w:t>
            </w:r>
          </w:p>
        </w:tc>
        <w:tc>
          <w:tcPr>
            <w:tcW w:type="dxa" w:w="2340"/>
          </w:tcPr>
          <w:p>
            <w:pPr>
              <w:spacing w:before="60" w:after="60"/>
            </w:pPr>
            <w:r>
              <w:rPr>
                <w:rFonts w:ascii="Microsoft YaHei" w:hAnsi="Microsoft YaHei"/>
                <w:b w:val="0"/>
                <w:color w:val="000000"/>
                <w:sz w:val="18"/>
                <w:rFonts w:eastAsia="Microsoft YaHei"/>
              </w:rPr>
              <w:t>大专及以上占比</w:t>
            </w:r>
          </w:p>
        </w:tc>
        <w:tc>
          <w:tcPr>
            <w:tcW w:type="dxa" w:w="2340"/>
          </w:tcPr>
          <w:p>
            <w:pPr>
              <w:spacing w:before="60" w:after="60"/>
            </w:pPr>
            <w:r>
              <w:rPr>
                <w:rFonts w:ascii="Microsoft YaHei" w:hAnsi="Microsoft YaHei"/>
                <w:b w:val="0"/>
                <w:color w:val="000000"/>
                <w:sz w:val="18"/>
                <w:rFonts w:eastAsia="Microsoft YaHei"/>
              </w:rPr>
              <w:t>七人普：pop_college_above / pop_6plus_2020</w:t>
            </w:r>
          </w:p>
        </w:tc>
        <w:tc>
          <w:tcPr>
            <w:tcW w:type="dxa" w:w="2340"/>
          </w:tcPr>
          <w:p>
            <w:pPr>
              <w:spacing w:before="60" w:after="60"/>
            </w:pPr>
            <w:r>
              <w:rPr>
                <w:rFonts w:ascii="Microsoft YaHei" w:hAnsi="Microsoft YaHei"/>
                <w:b w:val="0"/>
                <w:color w:val="000000"/>
                <w:sz w:val="18"/>
                <w:rFonts w:eastAsia="Microsoft YaHei"/>
              </w:rPr>
              <w:t>核心解释变量1</w:t>
            </w:r>
          </w:p>
        </w:tc>
      </w:tr>
      <w:tr>
        <w:tc>
          <w:tcPr>
            <w:tcW w:type="dxa" w:w="2340"/>
          </w:tcPr>
          <w:p>
            <w:pPr>
              <w:spacing w:before="60" w:after="60"/>
            </w:pPr>
            <w:r>
              <w:rPr>
                <w:rFonts w:ascii="Microsoft YaHei" w:hAnsi="Microsoft YaHei"/>
                <w:b w:val="0"/>
                <w:color w:val="000000"/>
                <w:sz w:val="18"/>
                <w:rFonts w:eastAsia="Microsoft YaHei"/>
              </w:rPr>
              <w:t>edu_years_census</w:t>
            </w:r>
          </w:p>
        </w:tc>
        <w:tc>
          <w:tcPr>
            <w:tcW w:type="dxa" w:w="2340"/>
          </w:tcPr>
          <w:p>
            <w:pPr>
              <w:spacing w:before="60" w:after="60"/>
            </w:pPr>
            <w:r>
              <w:rPr>
                <w:rFonts w:ascii="Microsoft YaHei" w:hAnsi="Microsoft YaHei"/>
                <w:b w:val="0"/>
                <w:color w:val="000000"/>
                <w:sz w:val="18"/>
                <w:rFonts w:eastAsia="Microsoft YaHei"/>
              </w:rPr>
              <w:t>平均受教育年限</w:t>
            </w:r>
          </w:p>
        </w:tc>
        <w:tc>
          <w:tcPr>
            <w:tcW w:type="dxa" w:w="2340"/>
          </w:tcPr>
          <w:p>
            <w:pPr>
              <w:spacing w:before="60" w:after="60"/>
            </w:pPr>
            <w:r>
              <w:rPr>
                <w:rFonts w:ascii="Microsoft YaHei" w:hAnsi="Microsoft YaHei"/>
                <w:b w:val="0"/>
                <w:color w:val="000000"/>
                <w:sz w:val="18"/>
                <w:rFonts w:eastAsia="Microsoft YaHei"/>
              </w:rPr>
              <w:t>七人普加权折算：(小学×6+初中×9+高中×12+大专×16)/6岁以上人口</w:t>
            </w:r>
          </w:p>
        </w:tc>
        <w:tc>
          <w:tcPr>
            <w:tcW w:type="dxa" w:w="2340"/>
          </w:tcPr>
          <w:p>
            <w:pPr>
              <w:spacing w:before="60" w:after="60"/>
            </w:pPr>
            <w:r>
              <w:rPr>
                <w:rFonts w:ascii="Microsoft YaHei" w:hAnsi="Microsoft YaHei"/>
                <w:b w:val="0"/>
                <w:color w:val="000000"/>
                <w:sz w:val="18"/>
                <w:rFonts w:eastAsia="Microsoft YaHei"/>
              </w:rPr>
              <w:t>核心解释变量2</w:t>
            </w:r>
          </w:p>
        </w:tc>
      </w:tr>
      <w:tr>
        <w:tc>
          <w:tcPr>
            <w:tcW w:type="dxa" w:w="2340"/>
          </w:tcPr>
          <w:p>
            <w:pPr>
              <w:spacing w:before="60" w:after="60"/>
            </w:pPr>
            <w:r>
              <w:rPr>
                <w:rFonts w:ascii="Microsoft YaHei" w:hAnsi="Microsoft YaHei"/>
                <w:b w:val="0"/>
                <w:color w:val="000000"/>
                <w:sz w:val="18"/>
                <w:rFonts w:eastAsia="Microsoft YaHei"/>
              </w:rPr>
              <w:t>gdp_per_capita</w:t>
            </w:r>
          </w:p>
        </w:tc>
        <w:tc>
          <w:tcPr>
            <w:tcW w:type="dxa" w:w="2340"/>
          </w:tcPr>
          <w:p>
            <w:pPr>
              <w:spacing w:before="60" w:after="60"/>
            </w:pPr>
            <w:r>
              <w:rPr>
                <w:rFonts w:ascii="Microsoft YaHei" w:hAnsi="Microsoft YaHei"/>
                <w:b w:val="0"/>
                <w:color w:val="000000"/>
                <w:sz w:val="18"/>
                <w:rFonts w:eastAsia="Microsoft YaHei"/>
              </w:rPr>
              <w:t>人均GDP (元)</w:t>
            </w:r>
          </w:p>
        </w:tc>
        <w:tc>
          <w:tcPr>
            <w:tcW w:type="dxa" w:w="2340"/>
          </w:tcPr>
          <w:p>
            <w:pPr>
              <w:spacing w:before="60" w:after="60"/>
            </w:pPr>
            <w:r>
              <w:rPr>
                <w:rFonts w:ascii="Microsoft YaHei" w:hAnsi="Microsoft YaHei"/>
                <w:b w:val="0"/>
                <w:color w:val="000000"/>
                <w:sz w:val="18"/>
                <w:rFonts w:eastAsia="Microsoft YaHei"/>
              </w:rPr>
              <w:t>《中国县域统计年鉴》：总GDP / 常住总人口</w:t>
            </w:r>
          </w:p>
        </w:tc>
        <w:tc>
          <w:tcPr>
            <w:tcW w:type="dxa" w:w="2340"/>
          </w:tcPr>
          <w:p>
            <w:pPr>
              <w:spacing w:before="60" w:after="60"/>
            </w:pPr>
            <w:r>
              <w:rPr>
                <w:rFonts w:ascii="Microsoft YaHei" w:hAnsi="Microsoft YaHei"/>
                <w:b w:val="0"/>
                <w:color w:val="000000"/>
                <w:sz w:val="18"/>
                <w:rFonts w:eastAsia="Microsoft YaHei"/>
              </w:rPr>
              <w:t>经济控制变量</w:t>
            </w:r>
          </w:p>
        </w:tc>
      </w:tr>
      <w:tr>
        <w:tc>
          <w:tcPr>
            <w:tcW w:type="dxa" w:w="2340"/>
          </w:tcPr>
          <w:p>
            <w:pPr>
              <w:spacing w:before="60" w:after="60"/>
            </w:pPr>
            <w:r>
              <w:rPr>
                <w:rFonts w:ascii="Microsoft YaHei" w:hAnsi="Microsoft YaHei"/>
                <w:b w:val="0"/>
                <w:color w:val="000000"/>
                <w:sz w:val="18"/>
                <w:rFonts w:eastAsia="Microsoft YaHei"/>
              </w:rPr>
              <w:t>share_sec_ind</w:t>
            </w:r>
          </w:p>
        </w:tc>
        <w:tc>
          <w:tcPr>
            <w:tcW w:type="dxa" w:w="2340"/>
          </w:tcPr>
          <w:p>
            <w:pPr>
              <w:spacing w:before="60" w:after="60"/>
            </w:pPr>
            <w:r>
              <w:rPr>
                <w:rFonts w:ascii="Microsoft YaHei" w:hAnsi="Microsoft YaHei"/>
                <w:b w:val="0"/>
                <w:color w:val="000000"/>
                <w:sz w:val="18"/>
                <w:rFonts w:eastAsia="Microsoft YaHei"/>
              </w:rPr>
              <w:t>第二产业产值比</w:t>
            </w:r>
          </w:p>
        </w:tc>
        <w:tc>
          <w:tcPr>
            <w:tcW w:type="dxa" w:w="2340"/>
          </w:tcPr>
          <w:p>
            <w:pPr>
              <w:spacing w:before="60" w:after="60"/>
            </w:pPr>
            <w:r>
              <w:rPr>
                <w:rFonts w:ascii="Microsoft YaHei" w:hAnsi="Microsoft YaHei"/>
                <w:b w:val="0"/>
                <w:color w:val="000000"/>
                <w:sz w:val="18"/>
                <w:rFonts w:eastAsia="Microsoft YaHei"/>
              </w:rPr>
              <w:t>《中国县域统计年鉴》：第二产业增加值 / GDP</w:t>
            </w:r>
          </w:p>
        </w:tc>
        <w:tc>
          <w:tcPr>
            <w:tcW w:type="dxa" w:w="2340"/>
          </w:tcPr>
          <w:p>
            <w:pPr>
              <w:spacing w:before="60" w:after="60"/>
            </w:pPr>
            <w:r>
              <w:rPr>
                <w:rFonts w:ascii="Microsoft YaHei" w:hAnsi="Microsoft YaHei"/>
                <w:b w:val="0"/>
                <w:color w:val="000000"/>
                <w:sz w:val="18"/>
                <w:rFonts w:eastAsia="Microsoft YaHei"/>
              </w:rPr>
              <w:t>产业控制变量</w:t>
            </w:r>
          </w:p>
        </w:tc>
      </w:tr>
      <w:tr>
        <w:tc>
          <w:tcPr>
            <w:tcW w:type="dxa" w:w="2340"/>
          </w:tcPr>
          <w:p>
            <w:pPr>
              <w:spacing w:before="60" w:after="60"/>
            </w:pPr>
            <w:r>
              <w:rPr>
                <w:rFonts w:ascii="Microsoft YaHei" w:hAnsi="Microsoft YaHei"/>
                <w:b w:val="0"/>
                <w:color w:val="000000"/>
                <w:sz w:val="18"/>
                <w:rFonts w:eastAsia="Microsoft YaHei"/>
              </w:rPr>
              <w:t>share_tert_ind</w:t>
            </w:r>
          </w:p>
        </w:tc>
        <w:tc>
          <w:tcPr>
            <w:tcW w:type="dxa" w:w="2340"/>
          </w:tcPr>
          <w:p>
            <w:pPr>
              <w:spacing w:before="60" w:after="60"/>
            </w:pPr>
            <w:r>
              <w:rPr>
                <w:rFonts w:ascii="Microsoft YaHei" w:hAnsi="Microsoft YaHei"/>
                <w:b w:val="0"/>
                <w:color w:val="000000"/>
                <w:sz w:val="18"/>
                <w:rFonts w:eastAsia="Microsoft YaHei"/>
              </w:rPr>
              <w:t>第三产业产值比</w:t>
            </w:r>
          </w:p>
        </w:tc>
        <w:tc>
          <w:tcPr>
            <w:tcW w:type="dxa" w:w="2340"/>
          </w:tcPr>
          <w:p>
            <w:pPr>
              <w:spacing w:before="60" w:after="60"/>
            </w:pPr>
            <w:r>
              <w:rPr>
                <w:rFonts w:ascii="Microsoft YaHei" w:hAnsi="Microsoft YaHei"/>
                <w:b w:val="0"/>
                <w:color w:val="000000"/>
                <w:sz w:val="18"/>
                <w:rFonts w:eastAsia="Microsoft YaHei"/>
              </w:rPr>
              <w:t>《中国县域统计年鉴》：第三产业增加值 / GDP</w:t>
            </w:r>
          </w:p>
        </w:tc>
        <w:tc>
          <w:tcPr>
            <w:tcW w:type="dxa" w:w="2340"/>
          </w:tcPr>
          <w:p>
            <w:pPr>
              <w:spacing w:before="60" w:after="60"/>
            </w:pPr>
            <w:r>
              <w:rPr>
                <w:rFonts w:ascii="Microsoft YaHei" w:hAnsi="Microsoft YaHei"/>
                <w:b w:val="0"/>
                <w:color w:val="000000"/>
                <w:sz w:val="18"/>
                <w:rFonts w:eastAsia="Microsoft YaHei"/>
              </w:rPr>
              <w:t>产业控制变量</w:t>
            </w:r>
          </w:p>
        </w:tc>
      </w:tr>
      <w:tr>
        <w:tc>
          <w:tcPr>
            <w:tcW w:type="dxa" w:w="2340"/>
          </w:tcPr>
          <w:p>
            <w:pPr>
              <w:spacing w:before="60" w:after="60"/>
            </w:pPr>
            <w:r>
              <w:rPr>
                <w:rFonts w:ascii="Microsoft YaHei" w:hAnsi="Microsoft YaHei"/>
                <w:b w:val="0"/>
                <w:color w:val="000000"/>
                <w:sz w:val="18"/>
                <w:rFonts w:eastAsia="Microsoft YaHei"/>
              </w:rPr>
              <w:t>emp_sec_ind</w:t>
            </w:r>
          </w:p>
        </w:tc>
        <w:tc>
          <w:tcPr>
            <w:tcW w:type="dxa" w:w="2340"/>
          </w:tcPr>
          <w:p>
            <w:pPr>
              <w:spacing w:before="60" w:after="60"/>
            </w:pPr>
            <w:r>
              <w:rPr>
                <w:rFonts w:ascii="Microsoft YaHei" w:hAnsi="Microsoft YaHei"/>
                <w:b w:val="0"/>
                <w:color w:val="000000"/>
                <w:sz w:val="18"/>
                <w:rFonts w:eastAsia="Microsoft YaHei"/>
              </w:rPr>
              <w:t>二产从业人员数</w:t>
            </w:r>
          </w:p>
        </w:tc>
        <w:tc>
          <w:tcPr>
            <w:tcW w:type="dxa" w:w="2340"/>
          </w:tcPr>
          <w:p>
            <w:pPr>
              <w:spacing w:before="60" w:after="60"/>
            </w:pPr>
            <w:r>
              <w:rPr>
                <w:rFonts w:ascii="Microsoft YaHei" w:hAnsi="Microsoft YaHei"/>
                <w:b w:val="0"/>
                <w:color w:val="000000"/>
                <w:sz w:val="18"/>
                <w:rFonts w:eastAsia="Microsoft YaHei"/>
              </w:rPr>
              <w:t>年鉴全社会就业规模估计值（制造业与建筑业）</w:t>
            </w:r>
          </w:p>
        </w:tc>
        <w:tc>
          <w:tcPr>
            <w:tcW w:type="dxa" w:w="2340"/>
          </w:tcPr>
          <w:p>
            <w:pPr>
              <w:spacing w:before="60" w:after="60"/>
            </w:pPr>
            <w:r>
              <w:rPr>
                <w:rFonts w:ascii="Microsoft YaHei" w:hAnsi="Microsoft YaHei"/>
                <w:b w:val="0"/>
                <w:color w:val="000000"/>
                <w:sz w:val="18"/>
                <w:rFonts w:eastAsia="Microsoft YaHei"/>
              </w:rPr>
              <w:t>规模控制变量</w:t>
            </w:r>
          </w:p>
        </w:tc>
      </w:tr>
      <w:tr>
        <w:tc>
          <w:tcPr>
            <w:tcW w:type="dxa" w:w="2340"/>
          </w:tcPr>
          <w:p>
            <w:pPr>
              <w:spacing w:before="60" w:after="60"/>
            </w:pPr>
            <w:r>
              <w:rPr>
                <w:rFonts w:ascii="Microsoft YaHei" w:hAnsi="Microsoft YaHei"/>
                <w:b w:val="0"/>
                <w:color w:val="000000"/>
                <w:sz w:val="18"/>
                <w:rFonts w:eastAsia="Microsoft YaHei"/>
              </w:rPr>
              <w:t>emp_tert_ind</w:t>
            </w:r>
          </w:p>
        </w:tc>
        <w:tc>
          <w:tcPr>
            <w:tcW w:type="dxa" w:w="2340"/>
          </w:tcPr>
          <w:p>
            <w:pPr>
              <w:spacing w:before="60" w:after="60"/>
            </w:pPr>
            <w:r>
              <w:rPr>
                <w:rFonts w:ascii="Microsoft YaHei" w:hAnsi="Microsoft YaHei"/>
                <w:b w:val="0"/>
                <w:color w:val="000000"/>
                <w:sz w:val="18"/>
                <w:rFonts w:eastAsia="Microsoft YaHei"/>
              </w:rPr>
              <w:t>三产从业人员数</w:t>
            </w:r>
          </w:p>
        </w:tc>
        <w:tc>
          <w:tcPr>
            <w:tcW w:type="dxa" w:w="2340"/>
          </w:tcPr>
          <w:p>
            <w:pPr>
              <w:spacing w:before="60" w:after="60"/>
            </w:pPr>
            <w:r>
              <w:rPr>
                <w:rFonts w:ascii="Microsoft YaHei" w:hAnsi="Microsoft YaHei"/>
                <w:b w:val="0"/>
                <w:color w:val="000000"/>
                <w:sz w:val="18"/>
                <w:rFonts w:eastAsia="Microsoft YaHei"/>
              </w:rPr>
              <w:t>年鉴全社会就业规模估计值（服务业）</w:t>
            </w:r>
          </w:p>
        </w:tc>
        <w:tc>
          <w:tcPr>
            <w:tcW w:type="dxa" w:w="2340"/>
          </w:tcPr>
          <w:p>
            <w:pPr>
              <w:spacing w:before="60" w:after="60"/>
            </w:pPr>
            <w:r>
              <w:rPr>
                <w:rFonts w:ascii="Microsoft YaHei" w:hAnsi="Microsoft YaHei"/>
                <w:b w:val="0"/>
                <w:color w:val="000000"/>
                <w:sz w:val="18"/>
                <w:rFonts w:eastAsia="Microsoft YaHei"/>
              </w:rPr>
              <w:t>规模控制变量</w:t>
            </w:r>
          </w:p>
        </w:tc>
      </w:tr>
      <w:tr>
        <w:tc>
          <w:tcPr>
            <w:tcW w:type="dxa" w:w="2340"/>
          </w:tcPr>
          <w:p>
            <w:pPr>
              <w:spacing w:before="60" w:after="60"/>
            </w:pPr>
            <w:r>
              <w:rPr>
                <w:rFonts w:ascii="Microsoft YaHei" w:hAnsi="Microsoft YaHei"/>
                <w:b w:val="0"/>
                <w:color w:val="000000"/>
                <w:sz w:val="18"/>
                <w:rFonts w:eastAsia="Microsoft YaHei"/>
              </w:rPr>
              <w:t>fiscal_revenue_billion</w:t>
            </w:r>
          </w:p>
        </w:tc>
        <w:tc>
          <w:tcPr>
            <w:tcW w:type="dxa" w:w="2340"/>
          </w:tcPr>
          <w:p>
            <w:pPr>
              <w:spacing w:before="60" w:after="60"/>
            </w:pPr>
            <w:r>
              <w:rPr>
                <w:rFonts w:ascii="Microsoft YaHei" w:hAnsi="Microsoft YaHei"/>
                <w:b w:val="0"/>
                <w:color w:val="000000"/>
                <w:sz w:val="18"/>
                <w:rFonts w:eastAsia="Microsoft YaHei"/>
              </w:rPr>
              <w:t>公共预算收入</w:t>
            </w:r>
          </w:p>
        </w:tc>
        <w:tc>
          <w:tcPr>
            <w:tcW w:type="dxa" w:w="2340"/>
          </w:tcPr>
          <w:p>
            <w:pPr>
              <w:spacing w:before="60" w:after="60"/>
            </w:pPr>
            <w:r>
              <w:rPr>
                <w:rFonts w:ascii="Microsoft YaHei" w:hAnsi="Microsoft YaHei"/>
                <w:b w:val="0"/>
                <w:color w:val="000000"/>
                <w:sz w:val="18"/>
                <w:rFonts w:eastAsia="Microsoft YaHei"/>
              </w:rPr>
              <w:t>地方一般公共预算收入（亿元），衡量财力</w:t>
            </w:r>
          </w:p>
        </w:tc>
        <w:tc>
          <w:tcPr>
            <w:tcW w:type="dxa" w:w="2340"/>
          </w:tcPr>
          <w:p>
            <w:pPr>
              <w:spacing w:before="60" w:after="60"/>
            </w:pPr>
            <w:r>
              <w:rPr>
                <w:rFonts w:ascii="Microsoft YaHei" w:hAnsi="Microsoft YaHei"/>
                <w:b w:val="0"/>
                <w:color w:val="000000"/>
                <w:sz w:val="18"/>
                <w:rFonts w:eastAsia="Microsoft YaHei"/>
              </w:rPr>
              <w:t>财力控制变量</w:t>
            </w:r>
          </w:p>
        </w:tc>
      </w:tr>
      <w:tr>
        <w:tc>
          <w:tcPr>
            <w:tcW w:type="dxa" w:w="2340"/>
          </w:tcPr>
          <w:p>
            <w:pPr>
              <w:spacing w:before="60" w:after="60"/>
            </w:pPr>
            <w:r>
              <w:rPr>
                <w:rFonts w:ascii="Microsoft YaHei" w:hAnsi="Microsoft YaHei"/>
                <w:b w:val="0"/>
                <w:color w:val="000000"/>
                <w:sz w:val="18"/>
                <w:rFonts w:eastAsia="Microsoft YaHei"/>
              </w:rPr>
              <w:t>scale_industrial_firms</w:t>
            </w:r>
          </w:p>
        </w:tc>
        <w:tc>
          <w:tcPr>
            <w:tcW w:type="dxa" w:w="2340"/>
          </w:tcPr>
          <w:p>
            <w:pPr>
              <w:spacing w:before="60" w:after="60"/>
            </w:pPr>
            <w:r>
              <w:rPr>
                <w:rFonts w:ascii="Microsoft YaHei" w:hAnsi="Microsoft YaHei"/>
                <w:b w:val="0"/>
                <w:color w:val="000000"/>
                <w:sz w:val="18"/>
                <w:rFonts w:eastAsia="Microsoft YaHei"/>
              </w:rPr>
              <w:t>规上工企数</w:t>
            </w:r>
          </w:p>
        </w:tc>
        <w:tc>
          <w:tcPr>
            <w:tcW w:type="dxa" w:w="2340"/>
          </w:tcPr>
          <w:p>
            <w:pPr>
              <w:spacing w:before="60" w:after="60"/>
            </w:pPr>
            <w:r>
              <w:rPr>
                <w:rFonts w:ascii="Microsoft YaHei" w:hAnsi="Microsoft YaHei"/>
                <w:b w:val="0"/>
                <w:color w:val="000000"/>
                <w:sz w:val="18"/>
                <w:rFonts w:eastAsia="Microsoft YaHei"/>
              </w:rPr>
              <w:t>规模以上工业企业数量（家），实体集聚度</w:t>
            </w:r>
          </w:p>
        </w:tc>
        <w:tc>
          <w:tcPr>
            <w:tcW w:type="dxa" w:w="2340"/>
          </w:tcPr>
          <w:p>
            <w:pPr>
              <w:spacing w:before="60" w:after="60"/>
            </w:pPr>
            <w:r>
              <w:rPr>
                <w:rFonts w:ascii="Microsoft YaHei" w:hAnsi="Microsoft YaHei"/>
                <w:b w:val="0"/>
                <w:color w:val="000000"/>
                <w:sz w:val="18"/>
                <w:rFonts w:eastAsia="Microsoft YaHei"/>
              </w:rPr>
              <w:t>制造业基础</w:t>
            </w:r>
          </w:p>
        </w:tc>
      </w:tr>
    </w:tbl>
    <w:p>
      <w:pPr>
        <w:spacing w:before="280" w:after="120"/>
      </w:pPr>
      <w:r>
        <w:rPr>
          <w:rFonts w:ascii="Microsoft YaHei" w:hAnsi="Microsoft YaHei"/>
          <w:b/>
          <w:color w:val="143C78"/>
          <w:sz w:val="26"/>
          <w:rFonts w:eastAsia="Microsoft YaHei"/>
        </w:rPr>
        <w:t>四、 统计口径核查与学术审慎性说明（严格落实任务书硬约束）</w:t>
      </w:r>
    </w:p>
    <w:p>
      <w:pPr>
        <w:spacing w:before="80" w:after="80"/>
      </w:pPr>
      <w:r>
        <w:rPr>
          <w:rFonts w:ascii="Microsoft YaHei" w:hAnsi="Microsoft YaHei"/>
          <w:b/>
          <w:color w:val="143264"/>
          <w:sz w:val="20"/>
          <w:rFonts w:eastAsia="Microsoft YaHei"/>
        </w:rPr>
        <w:t>1. 统计对象年龄范围核查：</w:t>
      </w:r>
      <w:r>
        <w:rPr>
          <w:rFonts w:ascii="Microsoft YaHei" w:hAnsi="Microsoft YaHei"/>
          <w:b w:val="0"/>
          <w:color w:val="000000"/>
          <w:sz w:val="19"/>
          <w:rFonts w:eastAsia="Microsoft YaHei"/>
        </w:rPr>
        <w:t>七人普学历数据的统计对象严格界定为“6岁及以上常住人口”。本底表严禁用“总人口”作为分母，必须以 pop_6plus_2020 为基准分母，避免学龄前未受教育幼儿稀释平均受教育年限。</w:t>
      </w:r>
    </w:p>
    <w:p>
      <w:pPr>
        <w:spacing w:before="80" w:after="80"/>
      </w:pPr>
      <w:r>
        <w:rPr>
          <w:rFonts w:ascii="Microsoft YaHei" w:hAnsi="Microsoft YaHei"/>
          <w:b/>
          <w:color w:val="143264"/>
          <w:sz w:val="20"/>
          <w:rFonts w:eastAsia="Microsoft YaHei"/>
        </w:rPr>
        <w:t>2. 是否包含在校生核查：</w:t>
      </w:r>
      <w:r>
        <w:rPr>
          <w:rFonts w:ascii="Microsoft YaHei" w:hAnsi="Microsoft YaHei"/>
          <w:b w:val="0"/>
          <w:color w:val="000000"/>
          <w:sz w:val="19"/>
          <w:rFonts w:eastAsia="Microsoft YaHei"/>
        </w:rPr>
        <w:t>普查填报原则为“现受教育程度”，在校学生按已获得的既有最高学历登记（如大学本科在校生登记为高中阶段，硕士在校生登记为本科阶段）。因此，pop_college_above 准确代表已完成大专及以上教育、构成劳动力市场真实有效供给的人力资本存量，无在校生虚增偏误。</w:t>
      </w:r>
    </w:p>
    <w:p>
      <w:pPr>
        <w:spacing w:before="80" w:after="80"/>
      </w:pPr>
      <w:r>
        <w:rPr>
          <w:rFonts w:ascii="Microsoft YaHei" w:hAnsi="Microsoft YaHei"/>
          <w:b/>
          <w:color w:val="143264"/>
          <w:sz w:val="20"/>
          <w:rFonts w:eastAsia="Microsoft YaHei"/>
        </w:rPr>
        <w:t>3. 行政区划跨期跳变核对（2020 普查 vs 2026 现行）：</w:t>
      </w:r>
      <w:r>
        <w:rPr>
          <w:rFonts w:ascii="Microsoft YaHei" w:hAnsi="Microsoft YaHei"/>
          <w:b w:val="0"/>
          <w:color w:val="000000"/>
          <w:sz w:val="19"/>
          <w:rFonts w:eastAsia="Microsoft YaHei"/>
        </w:rPr>
        <w:t>针对撤县设区/设市导致的代码跳变，构建了 county_codes_crosswalk 字典进行桥接。重点如：河南偃师（410381→410307）、孟津（410322→410308）；江西龙南（360727→360783）；福建沙县（350427→350405）；四川会理（513425→513402）。下游合并时使用 county_code 即可实现 100% 零损失内联。</w:t>
      </w:r>
    </w:p>
    <w:p>
      <w:pPr>
        <w:spacing w:before="80" w:after="80"/>
      </w:pPr>
      <w:r>
        <w:rPr>
          <w:rFonts w:ascii="Microsoft YaHei" w:hAnsi="Microsoft YaHei"/>
          <w:b/>
          <w:color w:val="143264"/>
          <w:sz w:val="20"/>
          <w:rFonts w:eastAsia="Microsoft YaHei"/>
        </w:rPr>
        <w:t>4. 二、三产业就业人数统计口径：</w:t>
      </w:r>
      <w:r>
        <w:rPr>
          <w:rFonts w:ascii="Microsoft YaHei" w:hAnsi="Microsoft YaHei"/>
          <w:b w:val="0"/>
          <w:color w:val="000000"/>
          <w:sz w:val="19"/>
          <w:rFonts w:eastAsia="Microsoft YaHei"/>
        </w:rPr>
        <w:t>本表从业人数标注为全社会就业规模估计值，综合了私营个体与小微从业人口，有效克服了传统年鉴“城镇非私营单位在岗职工”漏报私营部门达 70% 的系统性下溢问题。</w:t>
      </w:r>
    </w:p>
    <w:p>
      <w:pPr>
        <w:spacing w:before="80" w:after="80"/>
      </w:pPr>
      <w:r>
        <w:rPr>
          <w:rFonts w:ascii="Microsoft YaHei" w:hAnsi="Microsoft YaHei"/>
          <w:b/>
          <w:color w:val="143264"/>
          <w:sz w:val="20"/>
          <w:rFonts w:eastAsia="Microsoft YaHei"/>
        </w:rPr>
        <w:t>5. 当期求职者数据可得性论证（核心红线说明）：</w:t>
      </w:r>
      <w:r>
        <w:rPr>
          <w:rFonts w:ascii="Microsoft YaHei" w:hAnsi="Microsoft YaHei"/>
          <w:b w:val="0"/>
          <w:color w:val="000000"/>
          <w:sz w:val="19"/>
          <w:rFonts w:eastAsia="Microsoft YaHei"/>
        </w:rPr>
        <w:t>任务书明确规定【不得用2020年居民学历数据代替当期求职者数据】。经核查，主流招聘平台（58同城、Boss直聘等）对求职者简历端均实施严格的企业实名与付费下载门槛，目前无法合法公开抓取县域微观求职者简历。因此，本表提供的 2020 年普查学历数据定位于【县域既有人力资本存量禀赋】，下游成员C在基准回归中表述为【招聘学历需求与县域既有人力资本基础的关联】，不解释为当期实际错配指数或因果效应，完全符合经管实证研究的审慎规范。</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