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DAD16">
      <w:r>
        <w:t>县域劳动力市场结构性错配研究任务安排</w:t>
      </w:r>
    </w:p>
    <w:p w14:paraId="74D32124"/>
    <w:p w14:paraId="092D255D"/>
    <w:p w14:paraId="16C28400">
      <w:pPr>
        <w:pStyle w:val="30"/>
        <w:keepNext w:val="0"/>
        <w:keepLines w:val="0"/>
        <w:widowControl/>
        <w:suppressLineNumbers w:val="0"/>
      </w:pPr>
      <w:r>
        <w:t>成员A：招聘岗位数据</w:t>
      </w:r>
    </w:p>
    <w:p w14:paraId="71A1A180">
      <w:pPr>
        <w:pStyle w:val="30"/>
        <w:keepNext w:val="0"/>
        <w:keepLines w:val="0"/>
        <w:widowControl/>
        <w:suppressLineNumbers w:val="0"/>
      </w:pPr>
      <w:r>
        <w:t>任务：收集2026年5月爬取的县域招聘数据，记录采集时间、来源平台和实际工作地点，按县级行政区划代码归属岗位。清理重复广告，核查招聘人数。统一学历要求分类，为每条广告生成“要求大专及以上”“要求本科及以上”等0/1变量；“学历不限”和“未注明”分别标记。汇总各县招聘广告数量及不同学历门槛的广告占比。招聘人数缺失时不得默认按1人计算。</w:t>
      </w:r>
    </w:p>
    <w:p w14:paraId="5A1F76EB">
      <w:pPr>
        <w:pStyle w:val="30"/>
        <w:keepNext w:val="0"/>
        <w:keepLines w:val="0"/>
        <w:widowControl/>
        <w:suppressLineNumbers w:val="0"/>
      </w:pPr>
      <w:r>
        <w:t>交付：原始与清洗后的招聘数据、学历编码规则、县级招聘学历要求汇总表，以及各县样本覆盖和缺失情况说明。</w:t>
      </w:r>
    </w:p>
    <w:p w14:paraId="4B9D404B">
      <w:pPr>
        <w:pStyle w:val="30"/>
        <w:keepNext w:val="0"/>
        <w:keepLines w:val="0"/>
        <w:widowControl/>
        <w:suppressLineNumbers w:val="0"/>
      </w:pPr>
      <w:r>
        <w:t>成员B：县域学历结构与宏观数据</w:t>
      </w:r>
    </w:p>
    <w:p w14:paraId="01164271">
      <w:pPr>
        <w:pStyle w:val="30"/>
        <w:keepNext w:val="0"/>
        <w:keepLines w:val="0"/>
        <w:widowControl/>
        <w:suppressLineNumbers w:val="0"/>
      </w:pPr>
      <w:r>
        <w:t>任务：整理</w:t>
      </w:r>
      <w:r>
        <w:rPr>
          <w:rFonts w:hint="eastAsia"/>
          <w:lang w:val="en-US" w:eastAsia="zh-CN"/>
        </w:rPr>
        <w:t>全国各县年鉴</w:t>
      </w:r>
      <w:r>
        <w:t>中的县级</w:t>
      </w:r>
      <w:r>
        <w:rPr>
          <w:rFonts w:hint="eastAsia"/>
          <w:lang w:val="en-US" w:eastAsia="zh-CN"/>
        </w:rPr>
        <w:t>平均</w:t>
      </w:r>
      <w:r>
        <w:t>受教育</w:t>
      </w:r>
      <w:r>
        <w:rPr>
          <w:rFonts w:hint="eastAsia"/>
          <w:lang w:val="en-US" w:eastAsia="zh-CN"/>
        </w:rPr>
        <w:t>年限、二、三产业从业人数的</w:t>
      </w:r>
      <w:r>
        <w:t>数据，核对统计对象的年龄范围、是否包含在校生及行政区划变化，计算与招聘数据可比较的学历人口占比。收集产业结构、人口规模和经济发展等县域控制变量，统一县级代码。同时核查能否取得2026年5月按县、按学历划分的活跃求职者数据；不得用2020年居民学历数据代替当期求职者数据。</w:t>
      </w:r>
    </w:p>
    <w:p w14:paraId="2AB22EEB">
      <w:pPr>
        <w:pStyle w:val="30"/>
        <w:keepNext w:val="0"/>
        <w:keepLines w:val="0"/>
        <w:widowControl/>
        <w:suppressLineNumbers w:val="0"/>
      </w:pPr>
      <w:r>
        <w:t>交付：一县一行的学历结构与控制变量数据、县级代码对照表、变量定义、数据来源及缺失情况说明。</w:t>
      </w:r>
    </w:p>
    <w:p w14:paraId="26BA2C0D">
      <w:pPr>
        <w:pStyle w:val="30"/>
        <w:keepNext w:val="0"/>
        <w:keepLines w:val="0"/>
        <w:widowControl/>
        <w:suppressLineNumbers w:val="0"/>
      </w:pPr>
      <w:r>
        <w:t>成员C：指标构建与计量分析</w:t>
      </w:r>
    </w:p>
    <w:p w14:paraId="20279205">
      <w:pPr>
        <w:pStyle w:val="30"/>
        <w:keepNext w:val="0"/>
        <w:keepLines w:val="0"/>
        <w:widowControl/>
        <w:suppressLineNumbers w:val="0"/>
      </w:pPr>
      <w:r>
        <w:t>任务：合并A和B的数据。现阶段以各县“要求大专及以上学历的招聘广告占比”为被解释变量，以</w:t>
      </w:r>
      <w:r>
        <w:rPr>
          <w:rFonts w:hint="eastAsia"/>
          <w:lang w:val="en-US" w:eastAsia="zh-CN"/>
        </w:rPr>
        <w:t>平均受教育年限</w:t>
      </w:r>
      <w:bookmarkStart w:id="0" w:name="_GoBack"/>
      <w:bookmarkEnd w:id="0"/>
      <w:r>
        <w:t>占比为核心解释变量，加入预先确定的县域控制变量，完成截面基准回归。通过更换学历门槛、调整广告样本范围和检查县域样本覆盖开展稳健性检验。将结果表述为招聘学历需求与县域既有人力资本基础的关联，不解释为实际错配程度或因果效应。若取得同县、同期求职者学历数据，再计算学历供需结构差异指数并另行开展错配回归。</w:t>
      </w:r>
    </w:p>
    <w:p w14:paraId="5FB36C64">
      <w:pPr>
        <w:pStyle w:val="30"/>
        <w:keepNext w:val="0"/>
        <w:keepLines w:val="0"/>
        <w:widowControl/>
        <w:suppressLineNumbers w:val="0"/>
      </w:pPr>
      <w:r>
        <w:t>交付：县级分析数据、变量计算程序、基准回归与稳健性检验结果、样本筛选记录及结果解释。</w:t>
      </w:r>
    </w:p>
    <w:p w14:paraId="7D12F4BE"/>
    <w:p w14:paraId="6BF11BF4">
      <w:r>
        <w:rPr>
          <w:rFonts w:hint="eastAsia"/>
          <w:lang w:val="en-US" w:eastAsia="zh-CN"/>
        </w:rPr>
        <w:t>四</w:t>
      </w:r>
      <w:r>
        <w:t>、成员D：论文写作与数据复核</w:t>
      </w:r>
    </w:p>
    <w:p w14:paraId="19C2E0AA">
      <w:pPr>
        <w:rPr>
          <w:rFonts w:hint="default" w:eastAsia="宋体"/>
          <w:lang w:val="en-US" w:eastAsia="zh-CN"/>
        </w:rPr>
      </w:pPr>
      <w:r>
        <w:t>负责从研究设计阶段开始撰写数据来源、变量定义、计量模型和研究方法。抽查职业编码、县级合并和核心结果，核对数据流程与表格。根据理论和结果完成实证解释、研究局限和政策含义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同时，参照《管理世界》高引用量</w:t>
      </w:r>
    </w:p>
    <w:p w14:paraId="26F64CAD">
      <w:r>
        <w:t>交付：研究计划和论文各部分初稿、数据复核记录、图表和附录。</w:t>
      </w:r>
    </w:p>
    <w:p w14:paraId="064496BA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注：先做试分析 以河南、浙江、四川省为例</w:t>
      </w:r>
    </w:p>
    <w:p w14:paraId="563CE41B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351C5"/>
    <w:rsid w:val="1BB32282"/>
    <w:rsid w:val="56F5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854</Words>
  <Characters>868</Characters>
  <Lines>0</Lines>
  <Paragraphs>0</Paragraphs>
  <TotalTime>112</TotalTime>
  <ScaleCrop>false</ScaleCrop>
  <LinksUpToDate>false</LinksUpToDate>
  <CharactersWithSpaces>869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李岩</cp:lastModifiedBy>
  <dcterms:modified xsi:type="dcterms:W3CDTF">2026-09-24T10:50:16Z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eyJoZGlkIjoiY2FiMTdkNTM5MTFhNWZkOTMwZmRmZTc0YzVlNTUyN2YiLCJ1c2VySWQiOiIxNjU2NzQ1MTEyIn0=</vt:lpwstr>
  </property>
  <property fmtid="{D5CDD505-2E9C-101B-9397-08002B2CF9AE}" pid="3" name="KSOProductBuildVer">
    <vt:lpwstr>2052-12.1.0.28505</vt:lpwstr>
  </property>
  <property fmtid="{D5CDD505-2E9C-101B-9397-08002B2CF9AE}" pid="4" name="ICV">
    <vt:lpwstr>4A82DD8260484DA8BD382FA38AB3BE84_12</vt:lpwstr>
  </property>
</Properties>
</file>