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spacing w:before="0" w:after="0"/>
        <w:jc w:val="start"/>
        <w:rPr>
          <w:rFonts w:ascii="Arial;sans-serif" w:hAnsi="Arial;sans-serif"/>
          <w:caps/>
          <w:bdr w:val="single" w:sz="12" w:space="10" w:color="000000"/>
        </w:rPr>
      </w:pPr>
      <w:r>
        <w:rPr>
          <w:rFonts w:ascii="Arial;sans-serif" w:hAnsi="Arial;sans-serif"/>
          <w:caps/>
          <w:bdr w:val="single" w:sz="12" w:space="10" w:color="000000"/>
        </w:rPr>
        <w:t>VIBE SHITTING Working Paper Series</w:t>
      </w:r>
    </w:p>
    <w:p>
      <w:pPr>
        <w:pStyle w:val="TextBody"/>
        <w:bidi w:val="0"/>
        <w:jc w:val="start"/>
        <w:rPr>
          <w:rFonts w:ascii="Arial;sans-serif" w:hAnsi="Arial;sans-serif"/>
          <w:caps/>
          <w:bdr w:val="single" w:sz="12" w:space="10" w:color="000000"/>
        </w:rPr>
      </w:pPr>
      <w:r>
        <w:rPr>
          <w:rFonts w:ascii="Arial;sans-serif" w:hAnsi="Arial;sans-serif"/>
          <w:caps/>
          <w:bdr w:val="single" w:sz="12" w:space="10" w:color="000000"/>
        </w:rPr>
        <w:t>No. 01 / March 2026</w:t>
      </w:r>
    </w:p>
    <w:p>
      <w:pPr>
        <w:pStyle w:val="Heading1papertitle"/>
        <w:bidi w:val="0"/>
        <w:jc w:val="start"/>
        <w:rPr/>
      </w:pPr>
      <w:r>
        <w:rPr/>
        <w:t>Read, Seen, Ignored: A Signaling-Game Analysis of Reply Latency in Advisor Group Chats</w:t>
      </w:r>
    </w:p>
    <w:p>
      <w:pPr>
        <w:pStyle w:val="TextBody"/>
        <w:bidi w:val="0"/>
        <w:spacing w:before="150" w:after="120"/>
        <w:jc w:val="start"/>
        <w:rPr>
          <w:rFonts w:ascii="Arial;sans-serif" w:hAnsi="Arial;sans-serif"/>
          <w:caps/>
        </w:rPr>
      </w:pPr>
      <w:r>
        <w:rPr>
          <w:rFonts w:ascii="Arial;sans-serif" w:hAnsi="Arial;sans-serif"/>
          <w:caps/>
        </w:rPr>
        <w:t>Author</w:t>
      </w:r>
    </w:p>
    <w:p>
      <w:pPr>
        <w:pStyle w:val="TextBody"/>
        <w:bidi w:val="0"/>
        <w:spacing w:before="150" w:after="283"/>
        <w:jc w:val="start"/>
        <w:rPr/>
      </w:pPr>
      <w:r>
        <w:rPr/>
        <w:t>Cangsheng</w:t>
      </w:r>
    </w:p>
    <w:p>
      <w:pPr>
        <w:pStyle w:val="TextBody"/>
        <w:bidi w:val="0"/>
        <w:spacing w:before="150" w:after="283"/>
        <w:jc w:val="start"/>
        <w:rPr/>
      </w:pPr>
      <w:r>
        <w:rPr/>
        <w:t>Institute of Minor Lab Politics, VIBE SHITTING</w:t>
      </w:r>
    </w:p>
    <w:p>
      <w:pPr>
        <w:pStyle w:val="TextBody"/>
        <w:bidi w:val="0"/>
        <w:spacing w:before="150" w:after="120"/>
        <w:jc w:val="start"/>
        <w:rPr>
          <w:rFonts w:ascii="Arial;sans-serif" w:hAnsi="Arial;sans-serif"/>
          <w:caps/>
        </w:rPr>
      </w:pPr>
      <w:r>
        <w:rPr>
          <w:rFonts w:ascii="Arial;sans-serif" w:hAnsi="Arial;sans-serif"/>
          <w:caps/>
        </w:rPr>
        <w:t>Keywords</w:t>
      </w:r>
    </w:p>
    <w:p>
      <w:pPr>
        <w:pStyle w:val="TextBody"/>
        <w:bidi w:val="0"/>
        <w:spacing w:before="150" w:after="283"/>
        <w:jc w:val="start"/>
        <w:rPr/>
      </w:pPr>
      <w:r>
        <w:rPr/>
        <w:t>advisor group chats; signaling; chronemics; communication visibility; volunteer's dilemma; lab politics; call-out effect; advisor red-envelope effect</w:t>
      </w:r>
    </w:p>
    <w:p>
      <w:pPr>
        <w:pStyle w:val="TextBody"/>
        <w:bidi w:val="0"/>
        <w:spacing w:before="240" w:after="283"/>
        <w:jc w:val="start"/>
        <w:rPr>
          <w:rFonts w:ascii="Arial;sans-serif" w:hAnsi="Arial;sans-serif"/>
          <w:bdr w:val="single" w:sz="2" w:space="10" w:color="000000"/>
        </w:rPr>
      </w:pPr>
      <w:r>
        <w:rPr>
          <w:rFonts w:ascii="Arial;sans-serif" w:hAnsi="Arial;sans-serif"/>
          <w:bdr w:val="single" w:sz="2" w:space="10" w:color="000000"/>
        </w:rPr>
        <w:t>English submission preview</w:t>
      </w:r>
    </w:p>
    <w:p>
      <w:pPr>
        <w:pStyle w:val="Heading2sectiontitle"/>
        <w:pBdr/>
        <w:bidi w:val="0"/>
        <w:jc w:val="start"/>
        <w:rPr/>
      </w:pPr>
      <w:r>
        <w:rPr/>
        <w:t>Abstract</w:t>
      </w:r>
    </w:p>
    <w:p>
      <w:pPr>
        <w:pStyle w:val="TextBody"/>
        <w:bidi w:val="0"/>
        <w:spacing w:before="0" w:after="283"/>
        <w:jc w:val="start"/>
        <w:rPr/>
      </w:pPr>
      <w:r>
        <w:rPr/>
        <w:t xml:space="preserve">This paper treats reply in advisor group chats as a timed performance of reliability: answer too fast and you look idle, answer too slowly and you look missing. Drawing on signaling theory, chronemics, communication visibility, and the volunteer's dilemma, the paper analyzes 4,236 reconstructed message-response dyads across 28 research groups and foregrounds only four main findings. First, reply latency follows a clear inverse-U curve, with the fitted peak in Figure 2 landing at roughly </w:t>
      </w:r>
      <w:r>
        <w:rPr>
          <w:rStyle w:val="SourceText"/>
        </w:rPr>
        <w:t>12 min</w:t>
      </w:r>
      <w:r>
        <w:rPr/>
        <w:t xml:space="preserve">; the fastest reply is not the safest reply. Second, explicit advisor </w:t>
      </w:r>
      <w:r>
        <w:rPr>
          <w:rStyle w:val="SourceText"/>
        </w:rPr>
        <w:t>@</w:t>
      </w:r>
      <w:r>
        <w:rPr/>
        <w:t xml:space="preserve"> mentions create a </w:t>
      </w:r>
      <w:r>
        <w:rPr>
          <w:rStyle w:val="StrongEmphasis"/>
        </w:rPr>
        <w:t>call-out effect</w:t>
      </w:r>
      <w:r>
        <w:rPr/>
        <w:t xml:space="preserve"> that rapidly disables group camouflage, holiday excuses, and role-based hiding. Third, once one credible public reply appears, everyone else's moral urgency is sharply discounted, producing a </w:t>
      </w:r>
      <w:r>
        <w:rPr>
          <w:rStyle w:val="StrongEmphasis"/>
        </w:rPr>
        <w:t>first-responder discount</w:t>
      </w:r>
      <w:r>
        <w:rPr/>
        <w:t xml:space="preserve">. Fourth, advisor red envelopes generate an </w:t>
      </w:r>
      <w:r>
        <w:rPr>
          <w:rStyle w:val="StrongEmphasis"/>
        </w:rPr>
        <w:t>advisor red-envelope effect</w:t>
      </w:r>
      <w:r>
        <w:rPr/>
        <w:t xml:space="preserve"> that punctures lurking equilibrium faster than ordinary supervision. Folk species and the U-shaped relation between publication stock and reply enthusiasm appear only as supporting explanations: the least published reply early to prove value, the most entangled reply early because the task is already theirs, and the drifting middle delays because it can. Advisor-group-chat latency is therefore not mere etiquette but an invisible scheduling regime that allocates trust, obligation, and the probability of being given the next task.</w:t>
      </w:r>
    </w:p>
    <w:p>
      <w:pPr>
        <w:pStyle w:val="Heading2sectiontitle"/>
        <w:pBdr/>
        <w:bidi w:val="0"/>
        <w:jc w:val="start"/>
        <w:rPr/>
      </w:pPr>
      <w:r>
        <w:rPr/>
        <w:t>1. Introduction</w:t>
      </w:r>
    </w:p>
    <w:p>
      <w:pPr>
        <w:pStyle w:val="TextBody"/>
        <w:bidi w:val="0"/>
        <w:spacing w:before="0" w:after="283"/>
        <w:jc w:val="start"/>
        <w:rPr/>
      </w:pPr>
      <w:r>
        <w:rPr/>
        <w:t>Academic group chats are frequently described as logistical tools. In practice, they operate as compact theaters of hierarchy, diligence, and moral visibility. A single message from an advisor does not merely request information; it opens a scene in which all observers may infer who is attentive, who is overloaded, who is avoiding work, and who is dangerously available for further assignment. Under such conditions, reply timing becomes consequential.</w:t>
      </w:r>
    </w:p>
    <w:p>
      <w:pPr>
        <w:pStyle w:val="TextBody"/>
        <w:bidi w:val="0"/>
        <w:spacing w:before="0" w:after="283"/>
        <w:jc w:val="start"/>
        <w:rPr/>
      </w:pPr>
      <w:r>
        <w:rPr/>
        <w:t>Common advice within student communities recommends responsiveness. Yet extreme responsiveness carries its own penalty. A reply that arrives within seconds may signal reliability, but it may also imply a troubling surplus of attention. In many laboratories, the student who is always online is rewarded not merely with trust, but with additional labor. Conversely, excessive delay can be interpreted as negligence, indifference, or collapse. Students therefore face a narrow strategic problem: how to answer quickly enough to remain legible as responsible, but slowly enough to avoid advertising unclaimed capacity.</w:t>
      </w:r>
    </w:p>
    <w:p>
      <w:pPr>
        <w:pStyle w:val="TextBody"/>
        <w:bidi w:val="0"/>
        <w:spacing w:before="0" w:after="283"/>
        <w:jc w:val="start"/>
        <w:rPr/>
      </w:pPr>
      <w:r>
        <w:rPr/>
        <w:t>This paper proposes that reply latency in advisor group chats should be analyzed not as a trivial matter of etiquette, but as a signaling problem embedded in a multi-actor coordination game. The student does not simply transmit information. The student performs an equilibrium between obedience, competence, self-protection, and survivable ambiguity. The group chat is not only a communication channel; it is a public arena in which timestamps become evidence.</w:t>
      </w:r>
    </w:p>
    <w:p>
      <w:pPr>
        <w:pStyle w:val="TextBody"/>
        <w:bidi w:val="0"/>
        <w:spacing w:before="0" w:after="283"/>
        <w:jc w:val="start"/>
        <w:rPr/>
      </w:pPr>
      <w:r>
        <w:rPr/>
        <w:t>The contribution of this paper is threefold. First, it defines advisor-group-chat latency as reputational labor under continuous observation rather than mere etiquette speed. Second, it places hierarchy, visibility, ownership, and reply order inside one multi-person coordination model, showing why not everybody is equally allowed to wait. Third, it treats laboratory folk taxonomy as structural diagnosis rather than decorative slang: these memes are not ornaments but vulgar names for unequal obligation.</w:t>
      </w:r>
    </w:p>
    <w:p>
      <w:pPr>
        <w:pStyle w:val="Heading2sectiontitle"/>
        <w:pBdr/>
        <w:bidi w:val="0"/>
        <w:jc w:val="start"/>
        <w:rPr/>
      </w:pPr>
      <w:r>
        <w:rPr/>
        <w:t>2. Literature Review and Theoretical Framework</w:t>
      </w:r>
    </w:p>
    <w:p>
      <w:pPr>
        <w:pStyle w:val="Heading3subsectiontitle"/>
        <w:bidi w:val="0"/>
        <w:jc w:val="start"/>
        <w:rPr/>
      </w:pPr>
      <w:r>
        <w:rPr/>
        <w:t>2.1 Signaling Under Repeated Asymmetry</w:t>
      </w:r>
    </w:p>
    <w:p>
      <w:pPr>
        <w:pStyle w:val="TextBody"/>
        <w:bidi w:val="0"/>
        <w:spacing w:before="0" w:after="283"/>
        <w:jc w:val="start"/>
        <w:rPr/>
      </w:pPr>
      <w:r>
        <w:rPr/>
        <w:t>Signaling theory explains how observable actions communicate hidden states under incomplete information. In classic form, a costly or difficult-to-fake signal allows observers to infer qualities they cannot directly inspect (Spence, 1973). In repeated settings, small observable choices can accumulate into durable reputations, because today’s act is interpreted in light of tomorrow’s interaction and yesterday’s memory (Kreps &amp; Wilson, 1982).</w:t>
      </w:r>
    </w:p>
    <w:p>
      <w:pPr>
        <w:pStyle w:val="TextBody"/>
        <w:bidi w:val="0"/>
        <w:spacing w:before="0" w:after="283"/>
        <w:jc w:val="start"/>
        <w:rPr/>
      </w:pPr>
      <w:r>
        <w:rPr/>
        <w:t>Advisor group chats present exactly this structure. Supervisors cannot directly observe whether a student is productively coding, physically in transit, quietly panicking, or staring at the message while composing a more respectable version of “received, professor.” What they can observe is whether the student replies, how fast, and in what tone. Latency therefore functions as a low-cost but continuously available signal of diligence, deference, availability, and emotional intactness. Unlike job-market signaling, however, this signal is not deployed once. It is repeated dozens or hundreds of times before the same audience.</w:t>
      </w:r>
    </w:p>
    <w:p>
      <w:pPr>
        <w:pStyle w:val="TextBody"/>
        <w:bidi w:val="0"/>
        <w:spacing w:before="0" w:after="283"/>
        <w:jc w:val="start"/>
        <w:rPr/>
      </w:pPr>
      <w:r>
        <w:rPr/>
        <w:t>The implication is that reply delay cannot be reduced to communication speed. It is better understood as reputational calibration under chronic asymmetry. Students do not simply signal competence. They signal a carefully mixed bundle: “I am responsible, I am not ignoring you, and I am hopefully not so free that you should give me three more tasks.” This paradox of being timely but not too timely also resembles the availability escalation documented in mobile-email research, where visible connectedness raises organizational expectations of perpetual reachability (Mazmanian, Orlikowski, &amp; Yates, 2013).</w:t>
      </w:r>
    </w:p>
    <w:p>
      <w:pPr>
        <w:pStyle w:val="Heading3subsectiontitle"/>
        <w:bidi w:val="0"/>
        <w:jc w:val="start"/>
        <w:rPr/>
      </w:pPr>
      <w:r>
        <w:rPr/>
        <w:t>2.2 Chronemics and Social Information in Computer-Mediated Communication</w:t>
      </w:r>
    </w:p>
    <w:p>
      <w:pPr>
        <w:pStyle w:val="TextBody"/>
        <w:bidi w:val="0"/>
        <w:spacing w:before="0" w:after="283"/>
        <w:jc w:val="start"/>
        <w:rPr/>
      </w:pPr>
      <w:r>
        <w:rPr/>
        <w:t>Research on computer-mediated communication shows that when face-to-face cues are reduced, users rely more heavily on text, timing, and contextual traces to infer social meaning (Walther, 1992; Walther, 1996). Chronemics, or the communication of meaning through time, is therefore central rather than peripheral in online interaction. Response delay is not merely the absence of content; it is itself content in temporal form.</w:t>
      </w:r>
    </w:p>
    <w:p>
      <w:pPr>
        <w:pStyle w:val="TextBody"/>
        <w:bidi w:val="0"/>
        <w:spacing w:before="0" w:after="283"/>
        <w:jc w:val="start"/>
        <w:rPr/>
      </w:pPr>
      <w:r>
        <w:rPr/>
        <w:t>Walther and Tidwell (1995) argue that relational cues survive in lean media by migrating into alternative channels such as timing and message management. Tidwell and Walther (2002) similarly show that people build impressions gradually through small mediated disclosures, even when interaction is text-heavy and asynchronous. More directly, Kalman et al. (2013) demonstrate that online chronemics convey social information, while Ziano and Wang (2021) show that response delays in email shape how senders are perceived. These lines of work imply that a timestamp in a chat window is already a socioemotional cue.</w:t>
      </w:r>
    </w:p>
    <w:p>
      <w:pPr>
        <w:pStyle w:val="TextBody"/>
        <w:bidi w:val="0"/>
        <w:spacing w:before="0" w:after="283"/>
        <w:jc w:val="start"/>
        <w:rPr/>
      </w:pPr>
      <w:r>
        <w:rPr/>
        <w:t>For academic group chats, the consequence is sharp. A six-minute delay can be read as “currently working but attentive,” a forty-minute delay as “occupied or strategically hiding,” and a three-second delay as “alarmingly available.” The same text, sent at a different time, becomes a different self. This preoccupation with responding quickly also resembles workplace telepressure: actors begin to experience themselves as bodies expected to be on call before anyone explicitly says so (Barber &amp; Santuzzi, 2015).</w:t>
      </w:r>
    </w:p>
    <w:p>
      <w:pPr>
        <w:pStyle w:val="Heading3subsectiontitle"/>
        <w:bidi w:val="0"/>
        <w:jc w:val="start"/>
        <w:rPr/>
      </w:pPr>
      <w:r>
        <w:rPr/>
        <w:t>2.3 Communication Visibility and the Public Audience Problem</w:t>
      </w:r>
    </w:p>
    <w:p>
      <w:pPr>
        <w:pStyle w:val="TextBody"/>
        <w:bidi w:val="0"/>
        <w:spacing w:before="0" w:after="283"/>
        <w:jc w:val="start"/>
        <w:rPr/>
      </w:pPr>
      <w:r>
        <w:rPr/>
        <w:t>Advisor group chats are not dyadic spaces. They are partially public environments in which supervisors, postdocs, senior students, and junior students all see not only messages, but the order and timing of response. Leonardi’s (2014) account of communication visibility is helpful here: digital systems make previously hidden interaction traces more observable, allowing third parties to infer who knows what, who is connected to whom, and who acts first.</w:t>
      </w:r>
    </w:p>
    <w:p>
      <w:pPr>
        <w:pStyle w:val="TextBody"/>
        <w:bidi w:val="0"/>
        <w:spacing w:before="0" w:after="283"/>
        <w:jc w:val="start"/>
        <w:rPr/>
      </w:pPr>
      <w:r>
        <w:rPr/>
        <w:t>This matters because the student in a group chat does not reply to a single superior. The student replies before a composite audience. A peer-originated question becomes quasi-supervisory when the advisor is visibly present. A direct request from the advisor becomes a public exam when ten other people watch in silence. The timestamp becomes a public micro-performance whose meaning is amplified by audience composition.</w:t>
      </w:r>
    </w:p>
    <w:p>
      <w:pPr>
        <w:pStyle w:val="TextBody"/>
        <w:bidi w:val="0"/>
        <w:spacing w:before="0" w:after="283"/>
        <w:jc w:val="start"/>
        <w:rPr/>
      </w:pPr>
      <w:r>
        <w:rPr/>
        <w:t>This also explains why the same student may reply differently in a private chat, a small working group, and a lab-wide announcement channel. Visibility changes the interpretive stakes. In visible settings, delay is not only judged by the sender, but co-read by everyone else as evidence of character, reliability, and room for future extraction.</w:t>
      </w:r>
    </w:p>
    <w:p>
      <w:pPr>
        <w:pStyle w:val="Heading3subsectiontitle"/>
        <w:bidi w:val="0"/>
        <w:jc w:val="start"/>
        <w:rPr/>
      </w:pPr>
      <w:r>
        <w:rPr/>
        <w:t>2.4 Status Heterogeneity, Folk Taxonomy, and Publication Burden</w:t>
      </w:r>
    </w:p>
    <w:p>
      <w:pPr>
        <w:pStyle w:val="TextBody"/>
        <w:bidi w:val="0"/>
        <w:spacing w:before="0" w:after="283"/>
        <w:jc w:val="start"/>
        <w:rPr/>
      </w:pPr>
      <w:r>
        <w:rPr/>
        <w:t>Expectation states theory suggests that status structures shape who is expected to speak, defer, take initiative, or bear responsibility in group settings (Berger, Cohen, &amp; Zelditch, 1972). In laboratories, such expectations do not map only onto formal titles. They attach to practical roles: the senior student who runs instruments, the postdoc proxy who relays advisor intent, the first-author junior whose draft is under discussion, the lab manager who controls schedules, and the unfortunate soul who handles procurement and reimbursement.</w:t>
      </w:r>
    </w:p>
    <w:p>
      <w:pPr>
        <w:pStyle w:val="TextBody"/>
        <w:bidi w:val="0"/>
        <w:spacing w:before="0" w:after="283"/>
        <w:jc w:val="start"/>
        <w:rPr/>
      </w:pPr>
      <w:r>
        <w:rPr/>
        <w:t xml:space="preserve">Current platform discourse adds a second, more useful classification system: the laboratory menagerie. The </w:t>
      </w:r>
      <w:r>
        <w:rPr>
          <w:rStyle w:val="StrongEmphasis"/>
        </w:rPr>
        <w:t>gatekeeping dog</w:t>
      </w:r>
      <w:r>
        <w:rPr/>
        <w:t xml:space="preserve"> is the person who replies early, forwards notices, records attendance, and often behaves as if corridor order depends on one more </w:t>
      </w:r>
      <w:r>
        <w:rPr>
          <w:rStyle w:val="SourceText"/>
        </w:rPr>
        <w:t>received</w:t>
      </w:r>
      <w:r>
        <w:rPr/>
        <w:t xml:space="preserve">. The </w:t>
      </w:r>
      <w:r>
        <w:rPr>
          <w:rStyle w:val="StrongEmphasis"/>
        </w:rPr>
        <w:t>muddy-water fish</w:t>
      </w:r>
      <w:r>
        <w:rPr/>
        <w:t xml:space="preserve"> survives by waiting for a more status-legible organism to move first. The </w:t>
      </w:r>
      <w:r>
        <w:rPr>
          <w:rStyle w:val="StrongEmphasis"/>
        </w:rPr>
        <w:t>dragging bottle</w:t>
      </w:r>
      <w:r>
        <w:rPr/>
        <w:t xml:space="preserve"> is not always lazy, but their delay slows the visible tempo of everyone attached to the same task chain. These folk labels are analytically useful because they condense obligation, initiative, and blame into something closer to offices than nicknames.</w:t>
      </w:r>
    </w:p>
    <w:p>
      <w:pPr>
        <w:pStyle w:val="TextBody"/>
        <w:bidi w:val="0"/>
        <w:spacing w:before="0" w:after="283"/>
        <w:jc w:val="start"/>
        <w:rPr/>
      </w:pPr>
      <w:r>
        <w:rPr/>
        <w:t>Publication stock introduces a further asymmetry. Students with no paper yet often reply early to perform reliability and secure future inclusion. Students with several papers or strong authorship centrality also reply early because the message is more likely to touch their work and because they are easier to name publicly. The drifting middle, who have enough legitimacy to hide but not enough ownership to be cornered, often delays the longest. Reply enthusiasm is therefore not linearly related to academic output. The least published and the most entangled move early for opposite reasons; the middle delays because it can.</w:t>
      </w:r>
    </w:p>
    <w:p>
      <w:pPr>
        <w:pStyle w:val="Heading3subsectiontitle"/>
        <w:bidi w:val="0"/>
        <w:jc w:val="start"/>
        <w:rPr/>
      </w:pPr>
      <w:r>
        <w:rPr/>
        <w:t>2.5 Volunteer's Dilemma, Call-Out Effect, and Reply Order in Multi-Person Chat</w:t>
      </w:r>
    </w:p>
    <w:p>
      <w:pPr>
        <w:pStyle w:val="TextBody"/>
        <w:bidi w:val="0"/>
        <w:spacing w:before="0" w:after="283"/>
        <w:jc w:val="start"/>
        <w:rPr/>
      </w:pPr>
      <w:r>
        <w:rPr/>
        <w:t>If one person’s visible reply can satisfy the audience’s immediate demand, then advisor group chats resemble a volunteer’s dilemma. In such settings, everyone benefits if someone responds, but each actor may prefer that another person incur the cost first (Diekmann, 1985; Diekmann, 1993). Classic work on diffusion of responsibility makes a similar point: as the number of potential responders grows, each individual can more easily wait and see whether someone else moves first (Darley &amp; Latané, 1968).</w:t>
      </w:r>
    </w:p>
    <w:p>
      <w:pPr>
        <w:pStyle w:val="TextBody"/>
        <w:bidi w:val="0"/>
        <w:spacing w:before="0" w:after="283"/>
        <w:jc w:val="start"/>
        <w:rPr/>
      </w:pPr>
      <w:r>
        <w:rPr/>
        <w:t>This logic is highly legible in graduate group chats. When an advisor asks, “Who can update the figure by tonight?”, silence does not mean the group failed to understand. It may mean each member is rationally calculating whether another body will volunteer first. Group size can therefore widen the initial waiting window. Yet the effect is not unlimited. When task ownership is obvious, diffusion collapses. If the message concerns the reimbursement form, everyone knows the procurement-reimbursement bottleneck cannot hide forever. If the message concerns a manuscript revision, the first-author junior becomes the default volunteer whether or not they chose the office.</w:t>
      </w:r>
    </w:p>
    <w:p>
      <w:pPr>
        <w:pStyle w:val="TextBody"/>
        <w:bidi w:val="0"/>
        <w:spacing w:before="0" w:after="283"/>
        <w:jc w:val="start"/>
        <w:rPr/>
      </w:pPr>
      <w:r>
        <w:rPr/>
        <w:t xml:space="preserve">An especially brutal variant occurs when the advisor stops speaking to the group in general and starts naming a body. We call this the </w:t>
      </w:r>
      <w:r>
        <w:rPr>
          <w:rStyle w:val="StrongEmphasis"/>
        </w:rPr>
        <w:t>call-out effect</w:t>
      </w:r>
      <w:r>
        <w:rPr/>
        <w:t xml:space="preserve">. Once a student is explicitly </w:t>
      </w:r>
      <w:r>
        <w:rPr>
          <w:rStyle w:val="SourceText"/>
        </w:rPr>
        <w:t>@</w:t>
      </w:r>
      <w:r>
        <w:rPr/>
        <w:t xml:space="preserve"> mentioned or directly named, the game changes from collective waiting to individual exposure. Holiday fog weakens, group size stops helping, and even the muddy-water fish becomes a vertebrate.</w:t>
      </w:r>
    </w:p>
    <w:p>
      <w:pPr>
        <w:pStyle w:val="TextBody"/>
        <w:bidi w:val="0"/>
        <w:spacing w:before="0" w:after="283"/>
        <w:jc w:val="start"/>
        <w:rPr/>
      </w:pPr>
      <w:r>
        <w:rPr/>
        <w:t xml:space="preserve">Reply order also matters because the first visible response changes the game for everyone else. Once someone has replied credibly, later responses no longer earn the same diligence premium. We call this the </w:t>
      </w:r>
      <w:r>
        <w:rPr>
          <w:rStyle w:val="StrongEmphasis"/>
        </w:rPr>
        <w:t>first-responder discount</w:t>
      </w:r>
      <w:r>
        <w:rPr/>
        <w:t>: after a sufficiently legible first answer appears, the marginal reputational benefit of joining late declines, while the risk of attracting extra labor may remain.</w:t>
      </w:r>
    </w:p>
    <w:p>
      <w:pPr>
        <w:pStyle w:val="Heading3subsectiontitle"/>
        <w:bidi w:val="0"/>
        <w:jc w:val="start"/>
        <w:rPr/>
      </w:pPr>
      <w:r>
        <w:rPr/>
        <w:t>2.6 A Vernacular Extension: Lab Politics, Memes, and Advisor Red Envelopes</w:t>
      </w:r>
    </w:p>
    <w:p>
      <w:pPr>
        <w:pStyle w:val="TextBody"/>
        <w:bidi w:val="0"/>
        <w:spacing w:before="0" w:after="283"/>
        <w:jc w:val="start"/>
        <w:rPr/>
      </w:pPr>
      <w:r>
        <w:rPr/>
        <w:t xml:space="preserve">Current Chinese platform discourse often translates group behavior into comic folk types rather than formal organizational theory. On Weibo, Xiaohongshu, meme sites, and public-advice pages, the most durable unit is often not the trait but the scene: </w:t>
      </w:r>
      <w:r>
        <w:rPr>
          <w:rStyle w:val="SourceText"/>
        </w:rPr>
        <w:t>received, teacher</w:t>
      </w:r>
      <w:r>
        <w:rPr/>
        <w:t>, the polite-smile cat, the friend who already replied in the group, the person who never misses a roll call, and the person whose silence somehow drags everyone else’s task forward. We therefore treat MBTI-style labels and animal metaphors not as scientific variables, but as vernacular descriptors that help render strategic heterogeneity visible.</w:t>
      </w:r>
    </w:p>
    <w:p>
      <w:pPr>
        <w:pStyle w:val="TextBody"/>
        <w:bidi w:val="0"/>
        <w:spacing w:before="0" w:after="283"/>
        <w:jc w:val="start"/>
        <w:rPr/>
      </w:pPr>
      <w:r>
        <w:rPr/>
        <w:t xml:space="preserve">This vernacular matters because it captures how participants themselves narrate laboratory politics. In one recurrent scene, the person handling invoices, reagent orders, and reimbursement rituals cannot disappear at the same speed as an uninvolved peer. In another, the first-author junior carries public manuscript responsibility while enjoying almost no real veto. A third figure is the gatekeeping dog, who may not publish the most, but is often first to say </w:t>
      </w:r>
      <w:r>
        <w:rPr>
          <w:rStyle w:val="SourceText"/>
        </w:rPr>
        <w:t>received</w:t>
      </w:r>
      <w:r>
        <w:rPr/>
        <w:t xml:space="preserve"> and last to allow procedural disorder. A fourth is the dragging bottle, whose own slowness turns into everyone else’s scheduling problem.</w:t>
      </w:r>
    </w:p>
    <w:p>
      <w:pPr>
        <w:pStyle w:val="TextBody"/>
        <w:bidi w:val="0"/>
        <w:spacing w:before="0" w:after="283"/>
        <w:jc w:val="start"/>
        <w:rPr/>
      </w:pPr>
      <w:r>
        <w:rPr/>
        <w:t xml:space="preserve">Advisor red envelopes sit at the center of this scene language. The packet is never only a packet. It is also a roll call, a kindness performance, and an attention trap. That is why the </w:t>
      </w:r>
      <w:r>
        <w:rPr>
          <w:rStyle w:val="StrongEmphasis"/>
        </w:rPr>
        <w:t>advisor red-envelope effect</w:t>
      </w:r>
      <w:r>
        <w:rPr/>
        <w:t xml:space="preserve"> belongs in the same vernacular family as the call-out effect and the first-responder discount: all three turn visibility into obligation, but through different emotional routes.</w:t>
      </w:r>
    </w:p>
    <w:p>
      <w:pPr>
        <w:pStyle w:val="TextBody"/>
        <w:bidi w:val="0"/>
        <w:spacing w:before="0" w:after="283"/>
        <w:jc w:val="start"/>
        <w:rPr/>
      </w:pPr>
      <w:r>
        <w:rPr/>
        <w:t xml:space="preserve">Holiday periods add a final layer of comic realism. Post-holiday discourse regularly describes people as cognitively slower, emotionally softer, and less ready to resume institutional performance. In laboratory settings, this produces </w:t>
      </w:r>
      <w:r>
        <w:rPr>
          <w:rStyle w:val="StrongEmphasis"/>
        </w:rPr>
        <w:t>holiday fog</w:t>
      </w:r>
      <w:r>
        <w:rPr/>
        <w:t>: the felt wish to say, “Advisor, I am somehow dumber than the vacation itself; do you still want to meet?” The paper does not treat this as a clinical measure. It treats it as a socially intelligible condition that shifts acceptable delay slightly to the right without suspending hierarchy.</w:t>
      </w:r>
    </w:p>
    <w:p>
      <w:pPr>
        <w:pStyle w:val="TextBody"/>
        <w:bidi w:val="0"/>
        <w:spacing w:before="0" w:after="283"/>
        <w:jc w:val="start"/>
        <w:rPr/>
      </w:pPr>
      <w:r>
        <w:rPr/>
        <w:t>Taken together, the paper treats reply windows as the joint product of four primary mechanisms: hierarchy compresses the left boundary, visibility magnifies the interpretive cost of delay, ownership determines who must eventually surface, and group size plus reply order determine how long collective waiting can last. Publication position and holiday state are moderators: the former changes who is read as a natural bearer of obligation, while the latter only nudges tolerance slightly to the right. Advisor red envelopes operate as an exogenous shock that briefly rewrites waiting equilibrium into attendance competition.</w:t>
      </w:r>
    </w:p>
    <w:p>
      <w:pPr>
        <w:pStyle w:val="TextBody"/>
        <w:bidi w:val="0"/>
        <w:spacing w:before="0" w:after="283"/>
        <w:jc w:val="start"/>
        <w:rPr/>
      </w:pPr>
      <w:r>
        <w:rPr/>
        <w:drawing>
          <wp:inline distT="0" distB="0" distL="0" distR="0">
            <wp:extent cx="718820" cy="359410"/>
            <wp:effectExtent l="0" t="0" r="0" b="0"/>
            <wp:docPr id="1" name="Image1" descr="" title="Figure 1. Theoretical Framework and Group-Chat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Figure 1. Theoretical Framework and Group-Chat Game."/>
                    <pic:cNvPicPr>
                      <a:picLocks noChangeAspect="1" noChangeArrowheads="1"/>
                    </pic:cNvPicPr>
                  </pic:nvPicPr>
                  <pic:blipFill>
                    <a:blip r:link="rId2"/>
                    <a:stretch>
                      <a:fillRect/>
                    </a:stretch>
                  </pic:blipFill>
                  <pic:spPr bwMode="auto">
                    <a:xfrm>
                      <a:off x="0" y="0"/>
                      <a:ext cx="718820" cy="359410"/>
                    </a:xfrm>
                    <a:prstGeom prst="rect">
                      <a:avLst/>
                    </a:prstGeom>
                  </pic:spPr>
                </pic:pic>
              </a:graphicData>
            </a:graphic>
          </wp:inline>
        </w:drawing>
      </w:r>
      <w:r>
        <w:rPr/>
        <w:t xml:space="preserve"> </w:t>
      </w:r>
      <w:r>
        <w:rPr/>
        <w:t xml:space="preserve">Figure 1. Theoretical Framework and Group-Chat Game. </w:t>
      </w:r>
    </w:p>
    <w:p>
      <w:pPr>
        <w:pStyle w:val="Heading2sectiontitle"/>
        <w:pBdr/>
        <w:bidi w:val="0"/>
        <w:jc w:val="start"/>
        <w:rPr/>
      </w:pPr>
      <w:r>
        <w:rPr/>
        <w:t>3. Research Design</w:t>
      </w:r>
    </w:p>
    <w:p>
      <w:pPr>
        <w:pStyle w:val="Heading3subsectiontitle"/>
        <w:bidi w:val="0"/>
        <w:jc w:val="start"/>
        <w:rPr/>
      </w:pPr>
      <w:r>
        <w:rPr/>
        <w:t>3.1 Corpus Construction</w:t>
      </w:r>
    </w:p>
    <w:p>
      <w:pPr>
        <w:pStyle w:val="TextBody"/>
        <w:bidi w:val="0"/>
        <w:spacing w:before="0" w:after="283"/>
        <w:jc w:val="start"/>
        <w:rPr/>
      </w:pPr>
      <w:r>
        <w:rPr/>
        <w:t>The study analyzes 4,236 message-response dyads reconstructed from 28 advisor-linked research groups across January 2024 to December 2025. Group size ranges from 4 to 17 visible members. The corpus includes 173 student-side actors distributed across seniority levels and task ownership roles. The unit of analysis is a visible incoming message and the first visible student response that follows it.</w:t>
      </w:r>
    </w:p>
    <w:p>
      <w:pPr>
        <w:pStyle w:val="TextBody"/>
        <w:bidi w:val="0"/>
        <w:spacing w:before="0" w:after="283"/>
        <w:jc w:val="start"/>
        <w:rPr/>
      </w:pPr>
      <w:r>
        <w:rPr/>
        <w:t>The dataset is intentionally synthetic, but it is built to preserve the emotional realism of the interaction environment. The corpus is not treated as a literal archive of every laboratory, but as a stylized model of norm perception. The paper asks not what students objectively do in all cases, but what latency patterns become intelligible as diligence, negligence, strategic patience, or hazardous availability.</w:t>
      </w:r>
    </w:p>
    <w:p>
      <w:pPr>
        <w:pStyle w:val="Heading3subsectiontitle"/>
        <w:bidi w:val="0"/>
        <w:jc w:val="start"/>
        <w:rPr/>
      </w:pPr>
      <w:r>
        <w:rPr/>
        <w:t>3.2 Group Structure and Core Variables</w:t>
      </w:r>
    </w:p>
    <w:p>
      <w:pPr>
        <w:pStyle w:val="TextBody"/>
        <w:bidi w:val="0"/>
        <w:spacing w:before="0" w:after="283"/>
        <w:jc w:val="start"/>
        <w:rPr/>
      </w:pPr>
      <w:r>
        <w:rPr/>
        <w:t>Each event in the corpus is coded across four variable families. Structural variables include sender hierarchy, group size, audience composition, visibility, and ownership salience. Situational variables include message type, urgency, holiday-reentry status, and red-envelope presence. Sequential variables include call-out status and first-response position. Actor variables include publication stock, pipeline centrality, and vernacular role tags. Emoji density is retained only as a supplementary modifier for low-urgency edge cases rather than as a headline result.</w:t>
      </w:r>
    </w:p>
    <w:p>
      <w:pPr>
        <w:pStyle w:val="TextBody"/>
        <w:bidi w:val="0"/>
        <w:spacing w:before="0" w:after="283"/>
        <w:jc w:val="start"/>
        <w:rPr/>
      </w:pPr>
      <w:r>
        <w:rPr/>
        <w:t>For interpretive purposes, coders also noted a non-inferential vernacular role tag when a composite style was highly salient, such as “gatekeeping dog,” “muddy-water fish,” “dragging bottle,” “first-author underling,” or “public bottleneck.” These tags sharpen the satirical description of who tends to surface first and who manages to drift longer, but they are not directly entered as inferential parameters.</w:t>
      </w:r>
    </w:p>
    <w:p>
      <w:pPr>
        <w:pStyle w:val="Heading3subsectiontitle"/>
        <w:bidi w:val="0"/>
        <w:jc w:val="start"/>
        <w:rPr/>
      </w:pPr>
      <w:r>
        <w:rPr/>
        <w:t>3.3 Utility Reconstruction</w:t>
      </w:r>
    </w:p>
    <w:p>
      <w:pPr>
        <w:pStyle w:val="TextBody"/>
        <w:bidi w:val="0"/>
        <w:spacing w:before="0" w:after="283"/>
        <w:jc w:val="start"/>
        <w:rPr/>
      </w:pPr>
      <w:r>
        <w:rPr/>
        <w:t xml:space="preserve">The analysis models each student actor </w:t>
      </w:r>
      <w:r>
        <w:rPr>
          <w:rStyle w:val="SourceText"/>
        </w:rPr>
        <w:t>i</w:t>
      </w:r>
      <w:r>
        <w:rPr/>
        <w:t xml:space="preserve"> as choosing a visible delay </w:t>
      </w:r>
      <w:r>
        <w:rPr>
          <w:rStyle w:val="SourceText"/>
        </w:rPr>
        <w:t>l_i</w:t>
      </w:r>
      <w:r>
        <w:rPr/>
        <w:t xml:space="preserve"> after message </w:t>
      </w:r>
      <w:r>
        <w:rPr>
          <w:rStyle w:val="SourceText"/>
        </w:rPr>
        <w:t>m</w:t>
      </w:r>
      <w:r>
        <w:rPr/>
        <w:t xml:space="preserve"> to maximize:</w:t>
      </w:r>
    </w:p>
    <w:p>
      <w:pPr>
        <w:pStyle w:val="TextBody"/>
        <w:bidi w:val="0"/>
        <w:spacing w:before="0" w:after="283"/>
        <w:jc w:val="start"/>
        <w:rPr/>
      </w:pPr>
      <w:r>
        <w:rPr>
          <w:rStyle w:val="SourceText"/>
        </w:rPr>
        <w:t>U_i(l_i) = alpha</w:t>
      </w:r>
      <w:r>
        <w:rPr>
          <w:rStyle w:val="Emphasis"/>
        </w:rPr>
        <w:t>D_i(l_i | h_i, v, u) + beta</w:t>
      </w:r>
      <w:r>
        <w:rPr>
          <w:rStyle w:val="SourceText"/>
        </w:rPr>
        <w:t>R_i(l_i | u, P_i) - gamma</w:t>
      </w:r>
      <w:r>
        <w:rPr>
          <w:rStyle w:val="Emphasis"/>
        </w:rPr>
        <w:t>A_i(l_i | N, C, O_i, P_i) - delta</w:t>
      </w:r>
      <w:r>
        <w:rPr>
          <w:rStyle w:val="SourceText"/>
        </w:rPr>
        <w:t>B_i(l_i | h_i, v, P_i) - eta*H_i(K)</w:t>
      </w:r>
    </w:p>
    <w:p>
      <w:pPr>
        <w:pStyle w:val="TextBody"/>
        <w:bidi w:val="0"/>
        <w:spacing w:before="0" w:after="283"/>
        <w:jc w:val="start"/>
        <w:rPr/>
      </w:pPr>
      <w:r>
        <w:rPr/>
        <w:t xml:space="preserve">where </w:t>
      </w:r>
      <w:r>
        <w:rPr>
          <w:rStyle w:val="SourceText"/>
        </w:rPr>
        <w:t>D_i</w:t>
      </w:r>
      <w:r>
        <w:rPr/>
        <w:t xml:space="preserve"> is perceived diligence, </w:t>
      </w:r>
      <w:r>
        <w:rPr>
          <w:rStyle w:val="SourceText"/>
        </w:rPr>
        <w:t>R_i</w:t>
      </w:r>
      <w:r>
        <w:rPr/>
        <w:t xml:space="preserve"> is reliability, </w:t>
      </w:r>
      <w:r>
        <w:rPr>
          <w:rStyle w:val="SourceText"/>
        </w:rPr>
        <w:t>A_i</w:t>
      </w:r>
      <w:r>
        <w:rPr/>
        <w:t xml:space="preserve"> is assignment hazard, </w:t>
      </w:r>
      <w:r>
        <w:rPr>
          <w:rStyle w:val="SourceText"/>
        </w:rPr>
        <w:t>B_i</w:t>
      </w:r>
      <w:r>
        <w:rPr/>
        <w:t xml:space="preserve"> is blame and suspicion, </w:t>
      </w:r>
      <w:r>
        <w:rPr>
          <w:rStyle w:val="SourceText"/>
        </w:rPr>
        <w:t>H_i</w:t>
      </w:r>
      <w:r>
        <w:rPr/>
        <w:t xml:space="preserve"> is holiday fog, and the remaining terms capture hierarchy, visibility, urgency, group size, composition, ownership, reply order, and holiday phase.</w:t>
      </w:r>
    </w:p>
    <w:p>
      <w:pPr>
        <w:pStyle w:val="TextBody"/>
        <w:bidi w:val="0"/>
        <w:spacing w:before="0" w:after="283"/>
        <w:jc w:val="start"/>
        <w:rPr/>
      </w:pPr>
      <w:r>
        <w:rPr/>
        <w:t>In plain language, the student is not optimizing “reply as fast as possible.” The student is optimizing an awkward window in which the advisor sees them as present without the rest of the laboratory reading them as permanently available.</w:t>
      </w:r>
    </w:p>
    <w:p>
      <w:pPr>
        <w:pStyle w:val="Heading3subsectiontitle"/>
        <w:bidi w:val="0"/>
        <w:jc w:val="start"/>
        <w:rPr/>
      </w:pPr>
      <w:r>
        <w:rPr/>
        <w:t>3.4 Hypotheses</w:t>
      </w:r>
    </w:p>
    <w:p>
      <w:pPr>
        <w:pStyle w:val="TextBody"/>
        <w:bidi w:val="0"/>
        <w:spacing w:before="0" w:after="283"/>
        <w:jc w:val="start"/>
        <w:rPr/>
      </w:pPr>
      <w:r>
        <w:rPr/>
        <w:t>The paper tests five linked claims:</w:t>
      </w:r>
    </w:p>
    <w:p>
      <w:pPr>
        <w:pStyle w:val="TextBody"/>
        <w:numPr>
          <w:ilvl w:val="0"/>
          <w:numId w:val="1"/>
        </w:numPr>
        <w:tabs>
          <w:tab w:val="clear" w:pos="1134"/>
          <w:tab w:val="left" w:pos="707" w:leader="none"/>
        </w:tabs>
        <w:bidi w:val="0"/>
        <w:spacing w:before="0" w:after="0"/>
        <w:ind w:start="707" w:hanging="283"/>
        <w:jc w:val="start"/>
        <w:rPr/>
      </w:pPr>
      <w:r>
        <w:rPr/>
        <w:t>Perceived diligence follows an inverse-U relation with latency.</w:t>
      </w:r>
    </w:p>
    <w:p>
      <w:pPr>
        <w:pStyle w:val="TextBody"/>
        <w:numPr>
          <w:ilvl w:val="0"/>
          <w:numId w:val="1"/>
        </w:numPr>
        <w:tabs>
          <w:tab w:val="clear" w:pos="1134"/>
          <w:tab w:val="left" w:pos="707" w:leader="none"/>
        </w:tabs>
        <w:bidi w:val="0"/>
        <w:spacing w:before="0" w:after="0"/>
        <w:ind w:start="707" w:hanging="283"/>
        <w:jc w:val="start"/>
        <w:rPr/>
      </w:pPr>
      <w:r>
        <w:rPr/>
        <w:t>Direct hierarchy compresses the optimal delay window.</w:t>
      </w:r>
    </w:p>
    <w:p>
      <w:pPr>
        <w:pStyle w:val="TextBody"/>
        <w:numPr>
          <w:ilvl w:val="0"/>
          <w:numId w:val="1"/>
        </w:numPr>
        <w:tabs>
          <w:tab w:val="clear" w:pos="1134"/>
          <w:tab w:val="left" w:pos="707" w:leader="none"/>
        </w:tabs>
        <w:bidi w:val="0"/>
        <w:spacing w:before="0" w:after="0"/>
        <w:ind w:start="707" w:hanging="283"/>
        <w:jc w:val="start"/>
        <w:rPr/>
      </w:pPr>
      <w:r>
        <w:rPr/>
        <w:t xml:space="preserve">A direct </w:t>
      </w:r>
      <w:r>
        <w:rPr>
          <w:rStyle w:val="SourceText"/>
        </w:rPr>
        <w:t>@</w:t>
      </w:r>
      <w:r>
        <w:rPr/>
        <w:t xml:space="preserve"> mention generates a call-out effect that overrides most excuses.</w:t>
      </w:r>
    </w:p>
    <w:p>
      <w:pPr>
        <w:pStyle w:val="TextBody"/>
        <w:numPr>
          <w:ilvl w:val="0"/>
          <w:numId w:val="1"/>
        </w:numPr>
        <w:tabs>
          <w:tab w:val="clear" w:pos="1134"/>
          <w:tab w:val="left" w:pos="707" w:leader="none"/>
        </w:tabs>
        <w:bidi w:val="0"/>
        <w:spacing w:before="0" w:after="0"/>
        <w:ind w:start="707" w:hanging="283"/>
        <w:jc w:val="start"/>
        <w:rPr/>
      </w:pPr>
      <w:r>
        <w:rPr/>
        <w:t>Once a credible first reply appears, later replies lose most of their diligence premium.</w:t>
      </w:r>
    </w:p>
    <w:p>
      <w:pPr>
        <w:pStyle w:val="TextBody"/>
        <w:numPr>
          <w:ilvl w:val="0"/>
          <w:numId w:val="1"/>
        </w:numPr>
        <w:tabs>
          <w:tab w:val="clear" w:pos="1134"/>
          <w:tab w:val="left" w:pos="707" w:leader="none"/>
        </w:tabs>
        <w:bidi w:val="0"/>
        <w:ind w:start="707" w:hanging="283"/>
        <w:jc w:val="start"/>
        <w:rPr/>
      </w:pPr>
      <w:r>
        <w:rPr/>
        <w:t>Publication stock has a U-shaped relation with reply enthusiasm, and advisor red envelopes sharply accelerate visible return.</w:t>
      </w:r>
    </w:p>
    <w:p>
      <w:pPr>
        <w:pStyle w:val="TextBody"/>
        <w:bidi w:val="0"/>
        <w:jc w:val="start"/>
        <w:rPr/>
      </w:pPr>
      <w:r>
        <w:rPr/>
        <w:t>The first four are headline findings. The fifth is a moderator-level result explaining why not every body lives on the same timing curve.</w:t>
      </w:r>
    </w:p>
    <w:p>
      <w:pPr>
        <w:pStyle w:val="Heading2sectiontitle"/>
        <w:pBdr/>
        <w:bidi w:val="0"/>
        <w:jc w:val="start"/>
        <w:rPr/>
      </w:pPr>
      <w:r>
        <w:rPr/>
        <w:t>4. Results</w:t>
      </w:r>
    </w:p>
    <w:p>
      <w:pPr>
        <w:pStyle w:val="Heading3subsectiontitle"/>
        <w:bidi w:val="0"/>
        <w:jc w:val="start"/>
        <w:rPr/>
      </w:pPr>
      <w:r>
        <w:rPr/>
        <w:t>4.1 The Inverse-U of Diligence</w:t>
      </w:r>
    </w:p>
    <w:p>
      <w:pPr>
        <w:pStyle w:val="TextBody"/>
        <w:bidi w:val="0"/>
        <w:spacing w:before="0" w:after="283"/>
        <w:jc w:val="start"/>
        <w:rPr/>
      </w:pPr>
      <w:r>
        <w:rPr/>
        <w:t xml:space="preserve">The primary finding is an inverse-U relationship between reply latency and perceived diligence. The quadratic fit in Figure 2 peaks at roughly </w:t>
      </w:r>
      <w:r>
        <w:rPr>
          <w:rStyle w:val="SourceText"/>
        </w:rPr>
        <w:t>12 min</w:t>
      </w:r>
      <w:r>
        <w:rPr/>
        <w:t xml:space="preserve">, while replies in the </w:t>
      </w:r>
      <w:r>
        <w:rPr>
          <w:rStyle w:val="SourceText"/>
        </w:rPr>
        <w:t>8-18 min</w:t>
      </w:r>
      <w:r>
        <w:rPr/>
        <w:t xml:space="preserve"> band achieved the highest diligence score and reliability score with only moderate assignment hazard. By contrast, replies under two minutes had high reliability but substantially elevated assignment hazard, supporting the claim that extreme responsiveness is interpreted as evidence of available capacity rather than pure virtue.</w:t>
      </w:r>
    </w:p>
    <w:p>
      <w:pPr>
        <w:pStyle w:val="TextBody"/>
        <w:bidi w:val="0"/>
        <w:spacing w:before="0" w:after="283"/>
        <w:jc w:val="start"/>
        <w:rPr/>
      </w:pPr>
      <w:r>
        <w:rPr/>
        <w:t xml:space="preserve">The </w:t>
      </w:r>
      <w:r>
        <w:rPr>
          <w:rStyle w:val="SourceText"/>
        </w:rPr>
        <w:t>19-47 min</w:t>
      </w:r>
      <w:r>
        <w:rPr/>
        <w:t xml:space="preserve"> band remained viable for low- and medium-urgency exchanges, though it began to incur reliability slippage. Once delay passed 48 minutes, both diligence and reliability deteriorated sharply. Delays beyond 180 minutes were interpreted less as strategic pacing than as infrastructural failure, emotional breakdown, or soft refusal in expensive clothing.</w:t>
      </w:r>
    </w:p>
    <w:p>
      <w:pPr>
        <w:pStyle w:val="TextBody"/>
        <w:bidi w:val="0"/>
        <w:spacing w:before="0" w:after="283"/>
        <w:jc w:val="start"/>
        <w:rPr/>
      </w:pPr>
      <w:r>
        <w:rPr/>
        <w:t>The best student, in timing terms, is therefore not the fastest student. It is the student who can still look as if the reply interrupted a real life.</w:t>
      </w:r>
    </w:p>
    <w:p>
      <w:pPr>
        <w:pStyle w:val="TextBody"/>
        <w:bidi w:val="0"/>
        <w:spacing w:before="0" w:after="283"/>
        <w:jc w:val="start"/>
        <w:rPr/>
      </w:pPr>
      <w:r>
        <w:rPr/>
        <w:drawing>
          <wp:inline distT="0" distB="0" distL="0" distR="0">
            <wp:extent cx="718820" cy="359410"/>
            <wp:effectExtent l="0" t="0" r="0" b="0"/>
            <wp:docPr id="2" name="Image2" descr="" title="Figure 2. Latency-Dilig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Figure 2. Latency-Diligence Curve."/>
                    <pic:cNvPicPr>
                      <a:picLocks noChangeAspect="1" noChangeArrowheads="1"/>
                    </pic:cNvPicPr>
                  </pic:nvPicPr>
                  <pic:blipFill>
                    <a:blip r:link="rId3"/>
                    <a:stretch>
                      <a:fillRect/>
                    </a:stretch>
                  </pic:blipFill>
                  <pic:spPr bwMode="auto">
                    <a:xfrm>
                      <a:off x="0" y="0"/>
                      <a:ext cx="718820" cy="359410"/>
                    </a:xfrm>
                    <a:prstGeom prst="rect">
                      <a:avLst/>
                    </a:prstGeom>
                  </pic:spPr>
                </pic:pic>
              </a:graphicData>
            </a:graphic>
          </wp:inline>
        </w:drawing>
      </w:r>
      <w:r>
        <w:rPr/>
        <w:t xml:space="preserve"> </w:t>
      </w:r>
      <w:r>
        <w:rPr/>
        <w:t xml:space="preserve">Figure 2. Latency-Diligence Curve. </w:t>
      </w:r>
    </w:p>
    <w:p>
      <w:pPr>
        <w:pStyle w:val="Heading3subsectiontitle"/>
        <w:bidi w:val="0"/>
        <w:jc w:val="start"/>
        <w:rPr/>
      </w:pPr>
      <w:r>
        <w:rPr/>
        <w:t>4.2 Hierarchy, Visibility, and the Call-Out Effect</w:t>
      </w:r>
    </w:p>
    <w:p>
      <w:pPr>
        <w:pStyle w:val="TextBody"/>
        <w:bidi w:val="0"/>
        <w:spacing w:before="0" w:after="283"/>
        <w:jc w:val="start"/>
        <w:rPr/>
      </w:pPr>
      <w:r>
        <w:rPr/>
        <w:t xml:space="preserve">Hierarchy strongly shaped acceptable delay. For messages sent directly by the principal advisor, the optimal window contracted to roughly </w:t>
      </w:r>
      <w:r>
        <w:rPr>
          <w:rStyle w:val="SourceText"/>
        </w:rPr>
        <w:t>6-18 min</w:t>
      </w:r>
      <w:r>
        <w:rPr/>
        <w:t>. For co-advisors and lab managers, the window widened slightly. Postdoc proxies allowed more drift, while peer-only settings permitted broad latency without major penalty.</w:t>
      </w:r>
    </w:p>
    <w:p>
      <w:pPr>
        <w:pStyle w:val="TextBody"/>
        <w:bidi w:val="0"/>
        <w:spacing w:before="0" w:after="283"/>
        <w:jc w:val="start"/>
        <w:rPr/>
      </w:pPr>
      <w:r>
        <w:rPr/>
        <w:t>Visibility intensified these effects. The most unstable category was the “peer with advisor visible” context. In such cases, even peer-originated messages inherit supervisory visibility, and students often respond faster than they would in strictly horizontal exchange. This produces a hybrid norm: socially coded as peer communication, but reputationally evaluated as advisor-facing performance.</w:t>
      </w:r>
    </w:p>
    <w:p>
      <w:pPr>
        <w:pStyle w:val="TextBody"/>
        <w:bidi w:val="0"/>
        <w:spacing w:before="0" w:after="283"/>
        <w:jc w:val="start"/>
        <w:rPr/>
      </w:pPr>
      <w:r>
        <w:rPr/>
        <w:t xml:space="preserve">The sharpest compression appeared under the </w:t>
      </w:r>
      <w:r>
        <w:rPr>
          <w:rStyle w:val="StrongEmphasis"/>
        </w:rPr>
        <w:t>call-out effect</w:t>
      </w:r>
      <w:r>
        <w:rPr/>
        <w:t xml:space="preserve">. Once an advisor explicitly tagged a name or typed an unmistakable direct cue, the viable window collapsed to roughly </w:t>
      </w:r>
      <w:r>
        <w:rPr>
          <w:rStyle w:val="SourceText"/>
        </w:rPr>
        <w:t>1-7 min</w:t>
      </w:r>
      <w:r>
        <w:rPr/>
        <w:t xml:space="preserve"> even for actors who would otherwise enjoy more room to hide. Holiday fog, large-group ambiguity, and role camouflage all weakened dramatically after a direct naming event.</w:t>
      </w:r>
    </w:p>
    <w:p>
      <w:pPr>
        <w:pStyle w:val="TextBody"/>
        <w:bidi w:val="0"/>
        <w:spacing w:before="0" w:after="283"/>
        <w:jc w:val="start"/>
        <w:rPr/>
      </w:pPr>
      <w:r>
        <w:rPr/>
        <w:t>Once named, you are no longer part of the audience. You are now the event.</w:t>
      </w:r>
    </w:p>
    <w:p>
      <w:pPr>
        <w:pStyle w:val="TextBody"/>
        <w:bidi w:val="0"/>
        <w:spacing w:before="0" w:after="283"/>
        <w:jc w:val="start"/>
        <w:rPr/>
      </w:pPr>
      <w:r>
        <w:rPr/>
        <w:drawing>
          <wp:inline distT="0" distB="0" distL="0" distR="0">
            <wp:extent cx="718820" cy="359410"/>
            <wp:effectExtent l="0" t="0" r="0" b="0"/>
            <wp:docPr id="3" name="Image3" descr="" title="Figure 3. Hierarchy-Specific Acceptable Dela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Figure 3. Hierarchy-Specific Acceptable Delay Window."/>
                    <pic:cNvPicPr>
                      <a:picLocks noChangeAspect="1" noChangeArrowheads="1"/>
                    </pic:cNvPicPr>
                  </pic:nvPicPr>
                  <pic:blipFill>
                    <a:blip r:link="rId4"/>
                    <a:stretch>
                      <a:fillRect/>
                    </a:stretch>
                  </pic:blipFill>
                  <pic:spPr bwMode="auto">
                    <a:xfrm>
                      <a:off x="0" y="0"/>
                      <a:ext cx="718820" cy="359410"/>
                    </a:xfrm>
                    <a:prstGeom prst="rect">
                      <a:avLst/>
                    </a:prstGeom>
                  </pic:spPr>
                </pic:pic>
              </a:graphicData>
            </a:graphic>
          </wp:inline>
        </w:drawing>
      </w:r>
      <w:r>
        <w:rPr/>
        <w:t xml:space="preserve"> </w:t>
      </w:r>
      <w:r>
        <w:rPr/>
        <w:t xml:space="preserve">Figure 3. Hierarchy-Specific Acceptable Delay Window. </w:t>
      </w:r>
    </w:p>
    <w:p>
      <w:pPr>
        <w:pStyle w:val="Heading3subsectiontitle"/>
        <w:bidi w:val="0"/>
        <w:jc w:val="start"/>
        <w:rPr/>
      </w:pPr>
      <w:r>
        <w:rPr/>
        <w:t>4.3 Group Size, First-Responder Discount, and Diffusion</w:t>
      </w:r>
    </w:p>
    <w:p>
      <w:pPr>
        <w:pStyle w:val="TextBody"/>
        <w:bidi w:val="0"/>
        <w:spacing w:before="0" w:after="283"/>
        <w:jc w:val="start"/>
        <w:rPr/>
      </w:pPr>
      <w:r>
        <w:rPr/>
        <w:t xml:space="preserve">Group size altered initial waiting behavior. In groups of </w:t>
      </w:r>
      <w:r>
        <w:rPr>
          <w:rStyle w:val="SourceText"/>
        </w:rPr>
        <w:t>4-6</w:t>
      </w:r>
      <w:r>
        <w:rPr/>
        <w:t xml:space="preserve">, median first visible reply time was 6 minutes. In groups of </w:t>
      </w:r>
      <w:r>
        <w:rPr>
          <w:rStyle w:val="SourceText"/>
        </w:rPr>
        <w:t>11+</w:t>
      </w:r>
      <w:r>
        <w:rPr/>
        <w:t>, the median first visible reply extended to 13 minutes when ownership was ambiguous. This supports the volunteer’s-dilemma interpretation: larger groups make it easier to hope someone else will take the first reputational bullet.</w:t>
      </w:r>
    </w:p>
    <w:p>
      <w:pPr>
        <w:pStyle w:val="TextBody"/>
        <w:bidi w:val="0"/>
        <w:spacing w:before="0" w:after="283"/>
        <w:jc w:val="start"/>
        <w:rPr/>
      </w:pPr>
      <w:r>
        <w:rPr/>
        <w:t>Yet this diffusion collapsed rapidly when ownership became clear. In manuscript-related threads where the first author was obvious, large-group median reply time fell back to five minutes. In reimbursement threads, the procurement-reimbursement bottleneck replied early even in high-member groups, suggesting that responsibility diffuses socially only until role ownership interrupts the fantasy.</w:t>
      </w:r>
    </w:p>
    <w:p>
      <w:pPr>
        <w:pStyle w:val="TextBody"/>
        <w:bidi w:val="0"/>
        <w:spacing w:before="0" w:after="283"/>
        <w:jc w:val="start"/>
        <w:rPr/>
      </w:pPr>
      <w:r>
        <w:rPr/>
        <w:t xml:space="preserve">Once a credible first reply had appeared, later responses shifted from obligatory to ornamental. The second-wave acknowledgment cluster typically arrived </w:t>
      </w:r>
      <w:r>
        <w:rPr>
          <w:rStyle w:val="SourceText"/>
        </w:rPr>
        <w:t>11-29 min</w:t>
      </w:r>
      <w:r>
        <w:rPr/>
        <w:t xml:space="preserve"> after the first reply and generated little additional diligence credit. In plain language, once somebody has typed the correct species of “received, professor,” everyone else can safely become atmospheric.</w:t>
      </w:r>
    </w:p>
    <w:p>
      <w:pPr>
        <w:pStyle w:val="TextBody"/>
        <w:bidi w:val="0"/>
        <w:spacing w:before="0" w:after="283"/>
        <w:jc w:val="start"/>
        <w:rPr/>
      </w:pPr>
      <w:r>
        <w:rPr/>
        <w:t>Once the first public attendance tax has been paid, everyone else's moral invoice depreciates immediately.</w:t>
      </w:r>
    </w:p>
    <w:p>
      <w:pPr>
        <w:pStyle w:val="TextBody"/>
        <w:bidi w:val="0"/>
        <w:spacing w:before="0" w:after="283"/>
        <w:jc w:val="start"/>
        <w:rPr/>
      </w:pPr>
      <w:r>
        <w:rPr/>
        <w:drawing>
          <wp:inline distT="0" distB="0" distL="0" distR="0">
            <wp:extent cx="718820" cy="359410"/>
            <wp:effectExtent l="0" t="0" r="0" b="0"/>
            <wp:docPr id="4" name="Image4" descr="" title="Figure 4. First-Responder Dis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Figure 4. First-Responder Discount."/>
                    <pic:cNvPicPr>
                      <a:picLocks noChangeAspect="1" noChangeArrowheads="1"/>
                    </pic:cNvPicPr>
                  </pic:nvPicPr>
                  <pic:blipFill>
                    <a:blip r:link="rId5"/>
                    <a:stretch>
                      <a:fillRect/>
                    </a:stretch>
                  </pic:blipFill>
                  <pic:spPr bwMode="auto">
                    <a:xfrm>
                      <a:off x="0" y="0"/>
                      <a:ext cx="718820" cy="359410"/>
                    </a:xfrm>
                    <a:prstGeom prst="rect">
                      <a:avLst/>
                    </a:prstGeom>
                  </pic:spPr>
                </pic:pic>
              </a:graphicData>
            </a:graphic>
          </wp:inline>
        </w:drawing>
      </w:r>
      <w:r>
        <w:rPr/>
        <w:t xml:space="preserve"> </w:t>
      </w:r>
      <w:r>
        <w:rPr/>
        <w:t xml:space="preserve">Figure 4. First-Responder Discount. </w:t>
      </w:r>
    </w:p>
    <w:p>
      <w:pPr>
        <w:pStyle w:val="Heading3subsectiontitle"/>
        <w:bidi w:val="0"/>
        <w:jc w:val="start"/>
        <w:rPr/>
      </w:pPr>
      <w:r>
        <w:rPr/>
        <w:t>4.4 Heterogeneous Roles, Folk Species, and Publication Burden</w:t>
      </w:r>
    </w:p>
    <w:p>
      <w:pPr>
        <w:pStyle w:val="TextBody"/>
        <w:bidi w:val="0"/>
        <w:spacing w:before="0" w:after="283"/>
        <w:jc w:val="start"/>
        <w:rPr/>
      </w:pPr>
      <w:r>
        <w:rPr/>
        <w:t>Role heterogeneity substantially reshaped the response curve. The earliest windows belonged to actors whose ownership was publicly knowable: first-author juniors on manuscript comments, procurement-reimbursement bottlenecks on reimbursement or purchasing requests, and experiment operators on instrument or sample failures. By contrast, generic junior bystanders in broad group settings retained a much wider safe zone, while peer-only lurkers could drift further without major penalty.</w:t>
      </w:r>
    </w:p>
    <w:p>
      <w:pPr>
        <w:pStyle w:val="TextBody"/>
        <w:bidi w:val="0"/>
        <w:spacing w:before="0" w:after="283"/>
        <w:jc w:val="start"/>
        <w:rPr/>
      </w:pPr>
      <w:r>
        <w:rPr/>
        <w:t xml:space="preserve">The vernacular species sharpen the same picture. The </w:t>
      </w:r>
      <w:r>
        <w:rPr>
          <w:rStyle w:val="StrongEmphasis"/>
        </w:rPr>
        <w:t>gatekeeping dog</w:t>
      </w:r>
      <w:r>
        <w:rPr/>
        <w:t xml:space="preserve"> replied unusually early on administrative reminders, compliance checks, and roll calls, often in the </w:t>
      </w:r>
      <w:r>
        <w:rPr>
          <w:rStyle w:val="SourceText"/>
        </w:rPr>
        <w:t>2-8 min</w:t>
      </w:r>
      <w:r>
        <w:rPr/>
        <w:t xml:space="preserve"> range, despite not always owning the substantive task. The </w:t>
      </w:r>
      <w:r>
        <w:rPr>
          <w:rStyle w:val="StrongEmphasis"/>
        </w:rPr>
        <w:t>muddy-water fish</w:t>
      </w:r>
      <w:r>
        <w:rPr/>
        <w:t xml:space="preserve"> remained slowest when ownership was unclear, but lost its survival advantage once a direct naming event occurred. The </w:t>
      </w:r>
      <w:r>
        <w:rPr>
          <w:rStyle w:val="StrongEmphasis"/>
        </w:rPr>
        <w:t>dragging bottle</w:t>
      </w:r>
      <w:r>
        <w:rPr/>
        <w:t xml:space="preserve"> showed the weakest spontaneous initiative and the largest gap between soft pings and explicit </w:t>
      </w:r>
      <w:r>
        <w:rPr>
          <w:rStyle w:val="SourceText"/>
        </w:rPr>
        <w:t>@</w:t>
      </w:r>
      <w:r>
        <w:rPr/>
        <w:t xml:space="preserve"> summons, suggesting that its main function is not refusal but tempo drag.</w:t>
      </w:r>
    </w:p>
    <w:p>
      <w:pPr>
        <w:pStyle w:val="TextBody"/>
        <w:bidi w:val="0"/>
        <w:spacing w:before="0" w:after="283"/>
        <w:jc w:val="start"/>
        <w:rPr/>
      </w:pPr>
      <w:r>
        <w:rPr/>
        <w:t>Publication stock also mattered, but the mechanism is not mysterious. The least published reply early to prove they deserve to stay; the most published reply early because the task is already moving toward them; the slowest cluster is the middle, whose members have enough legitimacy to hide but not enough ownership to be cornered. Reply enthusiasm therefore follows a U-shaped relation to publication position rather than a simple meritocratic gradient.</w:t>
      </w:r>
    </w:p>
    <w:p>
      <w:pPr>
        <w:pStyle w:val="TextBody"/>
        <w:bidi w:val="0"/>
        <w:spacing w:before="0" w:after="283"/>
        <w:jc w:val="start"/>
        <w:rPr/>
      </w:pPr>
      <w:r>
        <w:rPr/>
        <w:t xml:space="preserve">Numerically, the </w:t>
      </w:r>
      <w:r>
        <w:rPr>
          <w:rStyle w:val="SourceText"/>
        </w:rPr>
        <w:t>no-paper-yet</w:t>
      </w:r>
      <w:r>
        <w:rPr/>
        <w:t xml:space="preserve"> cluster concentrated around </w:t>
      </w:r>
      <w:r>
        <w:rPr>
          <w:rStyle w:val="SourceText"/>
        </w:rPr>
        <w:t>6-13 min</w:t>
      </w:r>
      <w:r>
        <w:rPr/>
        <w:t xml:space="preserve">, the </w:t>
      </w:r>
      <w:r>
        <w:rPr>
          <w:rStyle w:val="SourceText"/>
        </w:rPr>
        <w:t>1-2 visible outputs</w:t>
      </w:r>
      <w:r>
        <w:rPr/>
        <w:t xml:space="preserve"> cluster drifted to </w:t>
      </w:r>
      <w:r>
        <w:rPr>
          <w:rStyle w:val="SourceText"/>
        </w:rPr>
        <w:t>13-28 min</w:t>
      </w:r>
      <w:r>
        <w:rPr/>
        <w:t xml:space="preserve">, and the </w:t>
      </w:r>
      <w:r>
        <w:rPr>
          <w:rStyle w:val="SourceText"/>
        </w:rPr>
        <w:t>3+ outputs / pipeline-central</w:t>
      </w:r>
      <w:r>
        <w:rPr/>
        <w:t xml:space="preserve"> cluster moved back to </w:t>
      </w:r>
      <w:r>
        <w:rPr>
          <w:rStyle w:val="SourceText"/>
        </w:rPr>
        <w:t>7-14 min</w:t>
      </w:r>
      <w:r>
        <w:rPr/>
        <w:t>. The laboratory middle class enjoys the widest camouflage.</w:t>
      </w:r>
    </w:p>
    <w:p>
      <w:pPr>
        <w:pStyle w:val="TextBody"/>
        <w:bidi w:val="0"/>
        <w:spacing w:before="0" w:after="283"/>
        <w:jc w:val="start"/>
        <w:rPr/>
      </w:pPr>
      <w:r>
        <w:rPr/>
        <w:drawing>
          <wp:inline distT="0" distB="0" distL="0" distR="0">
            <wp:extent cx="718820" cy="359410"/>
            <wp:effectExtent l="0" t="0" r="0" b="0"/>
            <wp:docPr id="5" name="Image5" descr="" title="Figure 5. Laboratory Species Response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Figure 5. Laboratory Species Response Windows."/>
                    <pic:cNvPicPr>
                      <a:picLocks noChangeAspect="1" noChangeArrowheads="1"/>
                    </pic:cNvPicPr>
                  </pic:nvPicPr>
                  <pic:blipFill>
                    <a:blip r:link="rId6"/>
                    <a:stretch>
                      <a:fillRect/>
                    </a:stretch>
                  </pic:blipFill>
                  <pic:spPr bwMode="auto">
                    <a:xfrm>
                      <a:off x="0" y="0"/>
                      <a:ext cx="718820" cy="359410"/>
                    </a:xfrm>
                    <a:prstGeom prst="rect">
                      <a:avLst/>
                    </a:prstGeom>
                  </pic:spPr>
                </pic:pic>
              </a:graphicData>
            </a:graphic>
          </wp:inline>
        </w:drawing>
      </w:r>
      <w:r>
        <w:rPr/>
        <w:t xml:space="preserve"> </w:t>
      </w:r>
      <w:r>
        <w:rPr/>
        <w:t xml:space="preserve">Figure 5. Laboratory Species Response Windows. </w:t>
      </w:r>
      <w:r>
        <w:rPr/>
        <w:drawing>
          <wp:inline distT="0" distB="0" distL="0" distR="0">
            <wp:extent cx="718820" cy="359410"/>
            <wp:effectExtent l="0" t="0" r="0" b="0"/>
            <wp:docPr id="6" name="Image6" descr="" title="Figure 6. Publication Position and Reply Enthusi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Figure 6. Publication Position and Reply Enthusiasm."/>
                    <pic:cNvPicPr>
                      <a:picLocks noChangeAspect="1" noChangeArrowheads="1"/>
                    </pic:cNvPicPr>
                  </pic:nvPicPr>
                  <pic:blipFill>
                    <a:blip r:link="rId7"/>
                    <a:stretch>
                      <a:fillRect/>
                    </a:stretch>
                  </pic:blipFill>
                  <pic:spPr bwMode="auto">
                    <a:xfrm>
                      <a:off x="0" y="0"/>
                      <a:ext cx="718820" cy="359410"/>
                    </a:xfrm>
                    <a:prstGeom prst="rect">
                      <a:avLst/>
                    </a:prstGeom>
                  </pic:spPr>
                </pic:pic>
              </a:graphicData>
            </a:graphic>
          </wp:inline>
        </w:drawing>
      </w:r>
      <w:r>
        <w:rPr/>
        <w:t xml:space="preserve"> Figure 6. Publication Position and Reply Enthusiasm. </w:t>
      </w:r>
      <w:r>
        <w:rPr/>
        <w:drawing>
          <wp:inline distT="0" distB="0" distL="0" distR="0">
            <wp:extent cx="718820" cy="359410"/>
            <wp:effectExtent l="0" t="0" r="0" b="0"/>
            <wp:docPr id="7" name="Image7" descr="" title="Figure 7. Role Oblig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Figure 7. Role Obligation Matrix."/>
                    <pic:cNvPicPr>
                      <a:picLocks noChangeAspect="1" noChangeArrowheads="1"/>
                    </pic:cNvPicPr>
                  </pic:nvPicPr>
                  <pic:blipFill>
                    <a:blip r:link="rId8"/>
                    <a:stretch>
                      <a:fillRect/>
                    </a:stretch>
                  </pic:blipFill>
                  <pic:spPr bwMode="auto">
                    <a:xfrm>
                      <a:off x="0" y="0"/>
                      <a:ext cx="718820" cy="359410"/>
                    </a:xfrm>
                    <a:prstGeom prst="rect">
                      <a:avLst/>
                    </a:prstGeom>
                  </pic:spPr>
                </pic:pic>
              </a:graphicData>
            </a:graphic>
          </wp:inline>
        </w:drawing>
      </w:r>
      <w:r>
        <w:rPr/>
        <w:t xml:space="preserve"> Figure 7. Role Obligation Matrix. </w:t>
      </w:r>
    </w:p>
    <w:p>
      <w:pPr>
        <w:pStyle w:val="Heading3subsectiontitle"/>
        <w:bidi w:val="0"/>
        <w:jc w:val="start"/>
        <w:rPr/>
      </w:pPr>
      <w:r>
        <w:rPr/>
        <w:t>4.5 Advisor Red-Envelope Effect and Holiday Fog</w:t>
      </w:r>
    </w:p>
    <w:p>
      <w:pPr>
        <w:pStyle w:val="TextBody"/>
        <w:bidi w:val="0"/>
        <w:spacing w:before="0" w:after="283"/>
        <w:jc w:val="start"/>
        <w:rPr/>
      </w:pPr>
      <w:r>
        <w:rPr/>
        <w:t xml:space="preserve">The </w:t>
      </w:r>
      <w:r>
        <w:rPr>
          <w:rStyle w:val="StrongEmphasis"/>
        </w:rPr>
        <w:t>advisor red-envelope effect</w:t>
      </w:r>
      <w:r>
        <w:rPr/>
        <w:t xml:space="preserve"> was the most compactly absurd result in the corpus. In ordinary low-urgency holiday check-ins, median first visible reply time was </w:t>
      </w:r>
      <w:r>
        <w:rPr>
          <w:rStyle w:val="SourceText"/>
        </w:rPr>
        <w:t>17.8 min</w:t>
      </w:r>
      <w:r>
        <w:rPr/>
        <w:t xml:space="preserve">. In advisor red-envelope events of comparable urgency, it fell to </w:t>
      </w:r>
      <w:r>
        <w:rPr>
          <w:rStyle w:val="SourceText"/>
        </w:rPr>
        <w:t>2.4 min</w:t>
      </w:r>
      <w:r>
        <w:rPr/>
        <w:t>. Dormant members reappeared, gratitude density spiked, and even the muddy-water fish developed sudden finger strength. Small money outperformed large principle.</w:t>
      </w:r>
    </w:p>
    <w:p>
      <w:pPr>
        <w:pStyle w:val="TextBody"/>
        <w:bidi w:val="0"/>
        <w:spacing w:before="0" w:after="283"/>
        <w:jc w:val="start"/>
        <w:rPr/>
      </w:pPr>
      <w:r>
        <w:rPr/>
        <w:t xml:space="preserve">Holiday periods still produced a modest rightward shift in acceptable delay. During the first 72 hours after a long holiday, low- and medium-urgency messages tolerated an additional </w:t>
      </w:r>
      <w:r>
        <w:rPr>
          <w:rStyle w:val="SourceText"/>
        </w:rPr>
        <w:t>6-11 min</w:t>
      </w:r>
      <w:r>
        <w:rPr/>
        <w:t xml:space="preserve"> before sharp suspicion emerged. In effect, the group briefly accepted that everyone had become worse at being an institutional person.</w:t>
      </w:r>
    </w:p>
    <w:p>
      <w:pPr>
        <w:pStyle w:val="TextBody"/>
        <w:bidi w:val="0"/>
        <w:spacing w:before="0" w:after="283"/>
        <w:jc w:val="start"/>
        <w:rPr/>
      </w:pPr>
      <w:r>
        <w:rPr/>
        <w:t xml:space="preserve">This tolerance, however, was conditional. Direct summons from the principal advisor still demanded reply within roughly </w:t>
      </w:r>
      <w:r>
        <w:rPr>
          <w:rStyle w:val="SourceText"/>
        </w:rPr>
        <w:t>12 min</w:t>
      </w:r>
      <w:r>
        <w:rPr/>
        <w:t>, and explicit call-out events compressed the window even further. Holiday fog softened the norm; it did not repeal the constitution. Emoji behaved only as a weak edge modifier in low-urgency scenes and did not belong in the same explanatory tier as call-out or red-envelope effects.</w:t>
      </w:r>
    </w:p>
    <w:p>
      <w:pPr>
        <w:pStyle w:val="TextBody"/>
        <w:bidi w:val="0"/>
        <w:spacing w:before="0" w:after="283"/>
        <w:jc w:val="start"/>
        <w:rPr/>
      </w:pPr>
      <w:r>
        <w:rPr/>
        <w:t>In advisor chat, a red envelope is rarely just a benefit. It is roll call in lottery form.</w:t>
      </w:r>
    </w:p>
    <w:p>
      <w:pPr>
        <w:pStyle w:val="TextBody"/>
        <w:bidi w:val="0"/>
        <w:spacing w:before="0" w:after="283"/>
        <w:jc w:val="start"/>
        <w:rPr/>
      </w:pPr>
      <w:r>
        <w:rPr/>
        <w:drawing>
          <wp:inline distT="0" distB="0" distL="0" distR="0">
            <wp:extent cx="718820" cy="359410"/>
            <wp:effectExtent l="0" t="0" r="0" b="0"/>
            <wp:docPr id="8" name="Image8" descr="" title="Figure 8. Advisor Red-Envelope Sh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Figure 8. Advisor Red-Envelope Shock."/>
                    <pic:cNvPicPr>
                      <a:picLocks noChangeAspect="1" noChangeArrowheads="1"/>
                    </pic:cNvPicPr>
                  </pic:nvPicPr>
                  <pic:blipFill>
                    <a:blip r:link="rId9"/>
                    <a:stretch>
                      <a:fillRect/>
                    </a:stretch>
                  </pic:blipFill>
                  <pic:spPr bwMode="auto">
                    <a:xfrm>
                      <a:off x="0" y="0"/>
                      <a:ext cx="718820" cy="359410"/>
                    </a:xfrm>
                    <a:prstGeom prst="rect">
                      <a:avLst/>
                    </a:prstGeom>
                  </pic:spPr>
                </pic:pic>
              </a:graphicData>
            </a:graphic>
          </wp:inline>
        </w:drawing>
      </w:r>
      <w:r>
        <w:rPr/>
        <w:t xml:space="preserve"> </w:t>
      </w:r>
      <w:r>
        <w:rPr/>
        <w:t xml:space="preserve">Figure 8. Advisor Red-Envelope Shock. </w:t>
      </w:r>
    </w:p>
    <w:p>
      <w:pPr>
        <w:pStyle w:val="Heading2sectiontitle"/>
        <w:pBdr/>
        <w:bidi w:val="0"/>
        <w:jc w:val="start"/>
        <w:rPr/>
      </w:pPr>
      <w:r>
        <w:rPr/>
        <w:t>5. Discussion</w:t>
      </w:r>
    </w:p>
    <w:p>
      <w:pPr>
        <w:pStyle w:val="TextBody"/>
        <w:bidi w:val="0"/>
        <w:spacing w:before="0" w:after="283"/>
        <w:jc w:val="start"/>
        <w:rPr/>
      </w:pPr>
      <w:r>
        <w:rPr/>
        <w:t>The findings suggest that reply latency in advisor group chats is best understood as reputational labor embedded in a public coordination game. Students do not merely choose when to answer; they solve a constrained optimization problem within a morally saturated hierarchy. The ideal reply must look timely without appearing idle, modest without seeming evasive, and cooperative without volunteering for indefinite extraction.</w:t>
      </w:r>
    </w:p>
    <w:p>
      <w:pPr>
        <w:pStyle w:val="TextBody"/>
        <w:bidi w:val="0"/>
        <w:spacing w:before="0" w:after="283"/>
        <w:jc w:val="start"/>
        <w:rPr/>
      </w:pPr>
      <w:r>
        <w:rPr/>
        <w:t xml:space="preserve">The volunteer’s-dilemma framing clarifies why large group chats feel uniquely draining. Silence is rarely empty. It is often a collective attempt to outsource first exposure to somebody else. The muddy-water fish is therefore not lazy in a metaphysical sense; it is a rational actor waiting for a more status-legible organism to move first. Once the advisor types </w:t>
      </w:r>
      <w:r>
        <w:rPr>
          <w:rStyle w:val="SourceText"/>
        </w:rPr>
        <w:t>@first author</w:t>
      </w:r>
      <w:r>
        <w:rPr/>
        <w:t>, however, game theory abruptly becomes biography.</w:t>
      </w:r>
    </w:p>
    <w:p>
      <w:pPr>
        <w:pStyle w:val="TextBody"/>
        <w:bidi w:val="0"/>
        <w:spacing w:before="0" w:after="283"/>
        <w:jc w:val="start"/>
        <w:rPr/>
      </w:pPr>
      <w:r>
        <w:rPr/>
        <w:t>Role heterogeneity shows that laboratory politics is not background color but timing law. The first-author junior carries public responsibility with little veto. The procurement-reimbursement bottleneck has low symbolic glamour but controls the least deferrable material channel. The gatekeeping dog polices order without owning the science. The dragging bottle may say little, yet converts private slowness into shared scheduling pain.</w:t>
      </w:r>
    </w:p>
    <w:p>
      <w:pPr>
        <w:pStyle w:val="TextBody"/>
        <w:bidi w:val="0"/>
        <w:spacing w:before="0" w:after="283"/>
        <w:jc w:val="start"/>
        <w:rPr/>
      </w:pPr>
      <w:r>
        <w:rPr/>
        <w:t>Taken together, the results imply that an advisor group chat is less a communication tool than an unwritten scheduling regime: those who reply early begin to look like the next bodies available for extraction, while those who remain silent begin to look like bodies waiting to be named. Courtesy here is not courtesy. It is a public price quote on how callable you are.</w:t>
      </w:r>
    </w:p>
    <w:p>
      <w:pPr>
        <w:pStyle w:val="Heading2sectiontitle"/>
        <w:pBdr/>
        <w:bidi w:val="0"/>
        <w:jc w:val="start"/>
        <w:rPr/>
      </w:pPr>
      <w:r>
        <w:rPr/>
        <w:t>6. Limitations</w:t>
      </w:r>
    </w:p>
    <w:p>
      <w:pPr>
        <w:pStyle w:val="TextBody"/>
        <w:bidi w:val="0"/>
        <w:spacing w:before="0" w:after="283"/>
        <w:jc w:val="start"/>
        <w:rPr/>
      </w:pPr>
      <w:r>
        <w:rPr/>
        <w:t>This study has several limitations. First, the corpus is synthetic and reconstructive rather than observational in a strict empirical sense. Its validity is sociological and affective, not archival. Second, latency norms vary across disciplines, countries, lab cultures, and advisor personalities. Third, the model captures visible reply timing but not backstage behaviors such as drafting, deleting, consulting friends, panicking privately for twelve minutes, or asking a senior whether “received, professor” sounds too alive.</w:t>
      </w:r>
    </w:p>
    <w:p>
      <w:pPr>
        <w:pStyle w:val="TextBody"/>
        <w:bidi w:val="0"/>
        <w:spacing w:before="0" w:after="283"/>
        <w:jc w:val="start"/>
        <w:rPr/>
      </w:pPr>
      <w:r>
        <w:rPr/>
        <w:t>Fourth, the vernacular role tags and MBTI-style descriptors are interpretive composites inspired by contemporary online discourse, not validated personality measures. They are used to sharpen scene description, not to claim psychometric authority. Finally, while the paper draws on real theories of signaling, chronemics, and group coordination, its empirical world is intentionally stylized in order to preserve SHIT-compatible comic realism.</w:t>
      </w:r>
    </w:p>
    <w:p>
      <w:pPr>
        <w:pStyle w:val="Heading2sectiontitle"/>
        <w:pBdr/>
        <w:bidi w:val="0"/>
        <w:jc w:val="start"/>
        <w:rPr/>
      </w:pPr>
      <w:r>
        <w:rPr/>
        <w:t>7. Conclusion</w:t>
      </w:r>
    </w:p>
    <w:p>
      <w:pPr>
        <w:pStyle w:val="TextBody"/>
        <w:bidi w:val="0"/>
        <w:spacing w:before="0" w:after="283"/>
        <w:jc w:val="start"/>
        <w:rPr/>
      </w:pPr>
      <w:r>
        <w:rPr/>
        <w:t>The graduate student in an advisor group chat does not simply reply. The student performs reliability under unequal observation, in front of a visible audience, inside a multi-person game in which someone must answer first and nobody wants the honor too often. Reply latency therefore functions as both signal and shield: a small interval in which diligence, fear, ownership, extractability, and hierarchy are negotiated in public.</w:t>
      </w:r>
    </w:p>
    <w:p>
      <w:pPr>
        <w:pStyle w:val="TextBody"/>
        <w:bidi w:val="0"/>
        <w:spacing w:before="0" w:after="283"/>
        <w:jc w:val="start"/>
        <w:rPr/>
      </w:pPr>
      <w:r>
        <w:rPr/>
        <w:t>If this paper is correct, then the apparently trivial question “Why didn’t you just answer?” has no trivial answer. Advisor group chat is not an information system but a reputational stopwatch; reply latency is not etiquette but a public quote on loyalty, presence, and future extractability. Once a group begins allocating trust by timestamp, it is no longer merely chatting. It has become an invisible scheduling machine.</w:t>
      </w:r>
    </w:p>
    <w:p>
      <w:pPr>
        <w:pStyle w:val="Heading2sectiontitle"/>
        <w:pBdr/>
        <w:bidi w:val="0"/>
        <w:jc w:val="start"/>
        <w:rPr/>
      </w:pPr>
      <w:r>
        <w:rPr/>
        <w:t>Table 1. Message-Type Risk Matrix</w:t>
      </w:r>
    </w:p>
    <w:tbl>
      <w:tblPr>
        <w:tblW w:w="7864" w:type="dxa"/>
        <w:jc w:val="start"/>
        <w:tblInd w:w="28" w:type="dxa"/>
        <w:tblCellMar>
          <w:top w:w="28" w:type="dxa"/>
          <w:start w:w="28" w:type="dxa"/>
          <w:bottom w:w="28" w:type="dxa"/>
          <w:end w:w="28" w:type="dxa"/>
        </w:tblCellMar>
      </w:tblPr>
      <w:tblGrid>
        <w:gridCol w:w="2029"/>
        <w:gridCol w:w="1126"/>
        <w:gridCol w:w="1388"/>
        <w:gridCol w:w="938"/>
        <w:gridCol w:w="2383"/>
      </w:tblGrid>
      <w:tr>
        <w:trPr>
          <w:tblHeader w:val="true"/>
        </w:trPr>
        <w:tc>
          <w:tcPr>
            <w:tcW w:w="2029" w:type="dxa"/>
            <w:tcBorders/>
            <w:vAlign w:val="center"/>
          </w:tcPr>
          <w:p>
            <w:pPr>
              <w:pStyle w:val="TableHeading"/>
              <w:suppressLineNumbers/>
              <w:shd w:fill="EFE6D7" w:val="clear"/>
              <w:bidi w:val="0"/>
              <w:spacing w:before="0" w:after="283"/>
              <w:jc w:val="start"/>
              <w:rPr/>
            </w:pPr>
            <w:r>
              <w:rPr/>
              <w:t>Message Type</w:t>
            </w:r>
          </w:p>
        </w:tc>
        <w:tc>
          <w:tcPr>
            <w:tcW w:w="1126" w:type="dxa"/>
            <w:tcBorders/>
            <w:vAlign w:val="center"/>
          </w:tcPr>
          <w:p>
            <w:pPr>
              <w:pStyle w:val="TableHeading"/>
              <w:suppressLineNumbers/>
              <w:shd w:fill="EFE6D7" w:val="clear"/>
              <w:bidi w:val="0"/>
              <w:spacing w:before="0" w:after="283"/>
              <w:jc w:val="start"/>
              <w:rPr/>
            </w:pPr>
            <w:r>
              <w:rPr/>
              <w:t>Urgency</w:t>
            </w:r>
          </w:p>
        </w:tc>
        <w:tc>
          <w:tcPr>
            <w:tcW w:w="1388" w:type="dxa"/>
            <w:tcBorders/>
            <w:vAlign w:val="center"/>
          </w:tcPr>
          <w:p>
            <w:pPr>
              <w:pStyle w:val="TableHeading"/>
              <w:suppressLineNumbers/>
              <w:shd w:fill="EFE6D7" w:val="clear"/>
              <w:bidi w:val="0"/>
              <w:spacing w:before="0" w:after="283"/>
              <w:jc w:val="start"/>
              <w:rPr/>
            </w:pPr>
            <w:r>
              <w:rPr/>
              <w:t>Optimal Reply Window</w:t>
            </w:r>
          </w:p>
        </w:tc>
        <w:tc>
          <w:tcPr>
            <w:tcW w:w="938" w:type="dxa"/>
            <w:tcBorders/>
            <w:vAlign w:val="center"/>
          </w:tcPr>
          <w:p>
            <w:pPr>
              <w:pStyle w:val="TableHeading"/>
              <w:suppressLineNumbers/>
              <w:shd w:fill="EFE6D7" w:val="clear"/>
              <w:bidi w:val="0"/>
              <w:spacing w:before="0" w:after="283"/>
              <w:jc w:val="start"/>
              <w:rPr/>
            </w:pPr>
            <w:r>
              <w:rPr/>
              <w:t>Extra Task Risk</w:t>
            </w:r>
          </w:p>
        </w:tc>
        <w:tc>
          <w:tcPr>
            <w:tcW w:w="2383" w:type="dxa"/>
            <w:tcBorders/>
            <w:vAlign w:val="center"/>
          </w:tcPr>
          <w:p>
            <w:pPr>
              <w:pStyle w:val="TableHeading"/>
              <w:suppressLineNumbers/>
              <w:shd w:fill="EFE6D7" w:val="clear"/>
              <w:bidi w:val="0"/>
              <w:spacing w:before="0" w:after="283"/>
              <w:jc w:val="start"/>
              <w:rPr/>
            </w:pPr>
            <w:r>
              <w:rPr/>
              <w:t>Interpretive Logic</w:t>
            </w:r>
          </w:p>
        </w:tc>
      </w:tr>
      <w:tr>
        <w:trPr/>
        <w:tc>
          <w:tcPr>
            <w:tcW w:w="2029" w:type="dxa"/>
            <w:tcBorders/>
            <w:vAlign w:val="center"/>
          </w:tcPr>
          <w:p>
            <w:pPr>
              <w:pStyle w:val="TableContents"/>
              <w:bidi w:val="0"/>
              <w:spacing w:before="0" w:after="283"/>
              <w:jc w:val="start"/>
              <w:rPr/>
            </w:pPr>
            <w:r>
              <w:rPr/>
              <w:t xml:space="preserve">Explicit </w:t>
            </w:r>
            <w:r>
              <w:rPr>
                <w:rStyle w:val="SourceText"/>
              </w:rPr>
              <w:t>@</w:t>
            </w:r>
            <w:r>
              <w:rPr/>
              <w:t xml:space="preserve"> call / direct naming</w:t>
            </w:r>
          </w:p>
        </w:tc>
        <w:tc>
          <w:tcPr>
            <w:tcW w:w="1126" w:type="dxa"/>
            <w:tcBorders/>
            <w:vAlign w:val="center"/>
          </w:tcPr>
          <w:p>
            <w:pPr>
              <w:pStyle w:val="TableContents"/>
              <w:bidi w:val="0"/>
              <w:spacing w:before="0" w:after="283"/>
              <w:jc w:val="start"/>
              <w:rPr/>
            </w:pPr>
            <w:r>
              <w:rPr/>
              <w:t>High</w:t>
            </w:r>
          </w:p>
        </w:tc>
        <w:tc>
          <w:tcPr>
            <w:tcW w:w="1388" w:type="dxa"/>
            <w:tcBorders/>
            <w:vAlign w:val="center"/>
          </w:tcPr>
          <w:p>
            <w:pPr>
              <w:pStyle w:val="TableContents"/>
              <w:bidi w:val="0"/>
              <w:spacing w:before="0" w:after="283"/>
              <w:jc w:val="start"/>
              <w:rPr/>
            </w:pPr>
            <w:r>
              <w:rPr/>
              <w:t>1-7 min</w:t>
            </w:r>
          </w:p>
        </w:tc>
        <w:tc>
          <w:tcPr>
            <w:tcW w:w="938" w:type="dxa"/>
            <w:tcBorders/>
            <w:vAlign w:val="center"/>
          </w:tcPr>
          <w:p>
            <w:pPr>
              <w:pStyle w:val="TableContents"/>
              <w:bidi w:val="0"/>
              <w:spacing w:before="0" w:after="283"/>
              <w:jc w:val="start"/>
              <w:rPr/>
            </w:pPr>
            <w:r>
              <w:rPr/>
              <w:t>9.2</w:t>
            </w:r>
          </w:p>
        </w:tc>
        <w:tc>
          <w:tcPr>
            <w:tcW w:w="2383" w:type="dxa"/>
            <w:tcBorders/>
            <w:vAlign w:val="center"/>
          </w:tcPr>
          <w:p>
            <w:pPr>
              <w:pStyle w:val="TableContents"/>
              <w:bidi w:val="0"/>
              <w:spacing w:before="0" w:after="283"/>
              <w:jc w:val="start"/>
              <w:rPr/>
            </w:pPr>
            <w:r>
              <w:rPr/>
              <w:t>Once named, you stop being a crowd and become a body</w:t>
            </w:r>
          </w:p>
        </w:tc>
      </w:tr>
      <w:tr>
        <w:trPr/>
        <w:tc>
          <w:tcPr>
            <w:tcW w:w="2029" w:type="dxa"/>
            <w:tcBorders/>
            <w:vAlign w:val="center"/>
          </w:tcPr>
          <w:p>
            <w:pPr>
              <w:pStyle w:val="TableContents"/>
              <w:bidi w:val="0"/>
              <w:spacing w:before="0" w:after="283"/>
              <w:jc w:val="start"/>
              <w:rPr/>
            </w:pPr>
            <w:r>
              <w:rPr/>
              <w:t>Hard summons</w:t>
            </w:r>
          </w:p>
        </w:tc>
        <w:tc>
          <w:tcPr>
            <w:tcW w:w="1126" w:type="dxa"/>
            <w:tcBorders/>
            <w:vAlign w:val="center"/>
          </w:tcPr>
          <w:p>
            <w:pPr>
              <w:pStyle w:val="TableContents"/>
              <w:bidi w:val="0"/>
              <w:spacing w:before="0" w:after="283"/>
              <w:jc w:val="start"/>
              <w:rPr/>
            </w:pPr>
            <w:r>
              <w:rPr/>
              <w:t>High</w:t>
            </w:r>
          </w:p>
        </w:tc>
        <w:tc>
          <w:tcPr>
            <w:tcW w:w="1388" w:type="dxa"/>
            <w:tcBorders/>
            <w:vAlign w:val="center"/>
          </w:tcPr>
          <w:p>
            <w:pPr>
              <w:pStyle w:val="TableContents"/>
              <w:bidi w:val="0"/>
              <w:spacing w:before="0" w:after="283"/>
              <w:jc w:val="start"/>
              <w:rPr/>
            </w:pPr>
            <w:r>
              <w:rPr/>
              <w:t>1-6 min</w:t>
            </w:r>
          </w:p>
        </w:tc>
        <w:tc>
          <w:tcPr>
            <w:tcW w:w="938" w:type="dxa"/>
            <w:tcBorders/>
            <w:vAlign w:val="center"/>
          </w:tcPr>
          <w:p>
            <w:pPr>
              <w:pStyle w:val="TableContents"/>
              <w:bidi w:val="0"/>
              <w:spacing w:before="0" w:after="283"/>
              <w:jc w:val="start"/>
              <w:rPr/>
            </w:pPr>
            <w:r>
              <w:rPr/>
              <w:t>9.4</w:t>
            </w:r>
          </w:p>
        </w:tc>
        <w:tc>
          <w:tcPr>
            <w:tcW w:w="2383" w:type="dxa"/>
            <w:tcBorders/>
            <w:vAlign w:val="center"/>
          </w:tcPr>
          <w:p>
            <w:pPr>
              <w:pStyle w:val="TableContents"/>
              <w:bidi w:val="0"/>
              <w:spacing w:before="0" w:after="283"/>
              <w:jc w:val="start"/>
              <w:rPr/>
            </w:pPr>
            <w:r>
              <w:rPr/>
              <w:t>Silence reads as resistance</w:t>
            </w:r>
          </w:p>
        </w:tc>
      </w:tr>
      <w:tr>
        <w:trPr/>
        <w:tc>
          <w:tcPr>
            <w:tcW w:w="2029" w:type="dxa"/>
            <w:tcBorders/>
            <w:vAlign w:val="center"/>
          </w:tcPr>
          <w:p>
            <w:pPr>
              <w:pStyle w:val="TableContents"/>
              <w:bidi w:val="0"/>
              <w:spacing w:before="0" w:after="283"/>
              <w:jc w:val="start"/>
              <w:rPr/>
            </w:pPr>
            <w:r>
              <w:rPr/>
              <w:t>Deadline escalation</w:t>
            </w:r>
          </w:p>
        </w:tc>
        <w:tc>
          <w:tcPr>
            <w:tcW w:w="1126" w:type="dxa"/>
            <w:tcBorders/>
            <w:vAlign w:val="center"/>
          </w:tcPr>
          <w:p>
            <w:pPr>
              <w:pStyle w:val="TableContents"/>
              <w:bidi w:val="0"/>
              <w:spacing w:before="0" w:after="283"/>
              <w:jc w:val="start"/>
              <w:rPr/>
            </w:pPr>
            <w:r>
              <w:rPr/>
              <w:t>High</w:t>
            </w:r>
          </w:p>
        </w:tc>
        <w:tc>
          <w:tcPr>
            <w:tcW w:w="1388" w:type="dxa"/>
            <w:tcBorders/>
            <w:vAlign w:val="center"/>
          </w:tcPr>
          <w:p>
            <w:pPr>
              <w:pStyle w:val="TableContents"/>
              <w:bidi w:val="0"/>
              <w:spacing w:before="0" w:after="283"/>
              <w:jc w:val="start"/>
              <w:rPr/>
            </w:pPr>
            <w:r>
              <w:rPr/>
              <w:t>2-9 min</w:t>
            </w:r>
          </w:p>
        </w:tc>
        <w:tc>
          <w:tcPr>
            <w:tcW w:w="938" w:type="dxa"/>
            <w:tcBorders/>
            <w:vAlign w:val="center"/>
          </w:tcPr>
          <w:p>
            <w:pPr>
              <w:pStyle w:val="TableContents"/>
              <w:bidi w:val="0"/>
              <w:spacing w:before="0" w:after="283"/>
              <w:jc w:val="start"/>
              <w:rPr/>
            </w:pPr>
            <w:r>
              <w:rPr/>
              <w:t>8.7</w:t>
            </w:r>
          </w:p>
        </w:tc>
        <w:tc>
          <w:tcPr>
            <w:tcW w:w="2383" w:type="dxa"/>
            <w:tcBorders/>
            <w:vAlign w:val="center"/>
          </w:tcPr>
          <w:p>
            <w:pPr>
              <w:pStyle w:val="TableContents"/>
              <w:bidi w:val="0"/>
              <w:spacing w:before="0" w:after="283"/>
              <w:jc w:val="start"/>
              <w:rPr/>
            </w:pPr>
            <w:r>
              <w:rPr/>
              <w:t>Delay is conflated with collapse</w:t>
            </w:r>
          </w:p>
        </w:tc>
      </w:tr>
      <w:tr>
        <w:trPr/>
        <w:tc>
          <w:tcPr>
            <w:tcW w:w="2029" w:type="dxa"/>
            <w:tcBorders/>
            <w:vAlign w:val="center"/>
          </w:tcPr>
          <w:p>
            <w:pPr>
              <w:pStyle w:val="TableContents"/>
              <w:bidi w:val="0"/>
              <w:spacing w:before="0" w:after="283"/>
              <w:jc w:val="start"/>
              <w:rPr/>
            </w:pPr>
            <w:r>
              <w:rPr/>
              <w:t>Paper comments</w:t>
            </w:r>
          </w:p>
        </w:tc>
        <w:tc>
          <w:tcPr>
            <w:tcW w:w="1126" w:type="dxa"/>
            <w:tcBorders/>
            <w:vAlign w:val="center"/>
          </w:tcPr>
          <w:p>
            <w:pPr>
              <w:pStyle w:val="TableContents"/>
              <w:bidi w:val="0"/>
              <w:spacing w:before="0" w:after="283"/>
              <w:jc w:val="start"/>
              <w:rPr/>
            </w:pPr>
            <w:r>
              <w:rPr/>
              <w:t>Medium</w:t>
            </w:r>
          </w:p>
        </w:tc>
        <w:tc>
          <w:tcPr>
            <w:tcW w:w="1388" w:type="dxa"/>
            <w:tcBorders/>
            <w:vAlign w:val="center"/>
          </w:tcPr>
          <w:p>
            <w:pPr>
              <w:pStyle w:val="TableContents"/>
              <w:bidi w:val="0"/>
              <w:spacing w:before="0" w:after="283"/>
              <w:jc w:val="start"/>
              <w:rPr/>
            </w:pPr>
            <w:r>
              <w:rPr/>
              <w:t>6-15 min</w:t>
            </w:r>
          </w:p>
        </w:tc>
        <w:tc>
          <w:tcPr>
            <w:tcW w:w="938" w:type="dxa"/>
            <w:tcBorders/>
            <w:vAlign w:val="center"/>
          </w:tcPr>
          <w:p>
            <w:pPr>
              <w:pStyle w:val="TableContents"/>
              <w:bidi w:val="0"/>
              <w:spacing w:before="0" w:after="283"/>
              <w:jc w:val="start"/>
              <w:rPr/>
            </w:pPr>
            <w:r>
              <w:rPr/>
              <w:t>7.8</w:t>
            </w:r>
          </w:p>
        </w:tc>
        <w:tc>
          <w:tcPr>
            <w:tcW w:w="2383" w:type="dxa"/>
            <w:tcBorders/>
            <w:vAlign w:val="center"/>
          </w:tcPr>
          <w:p>
            <w:pPr>
              <w:pStyle w:val="TableContents"/>
              <w:bidi w:val="0"/>
              <w:spacing w:before="0" w:after="283"/>
              <w:jc w:val="start"/>
              <w:rPr/>
            </w:pPr>
            <w:r>
              <w:rPr/>
              <w:t>First-author ownership pulls the window left</w:t>
            </w:r>
          </w:p>
        </w:tc>
      </w:tr>
      <w:tr>
        <w:trPr/>
        <w:tc>
          <w:tcPr>
            <w:tcW w:w="2029" w:type="dxa"/>
            <w:tcBorders/>
            <w:vAlign w:val="center"/>
          </w:tcPr>
          <w:p>
            <w:pPr>
              <w:pStyle w:val="TableContents"/>
              <w:bidi w:val="0"/>
              <w:spacing w:before="0" w:after="283"/>
              <w:jc w:val="start"/>
              <w:rPr/>
            </w:pPr>
            <w:r>
              <w:rPr/>
              <w:t>Administrative reminder</w:t>
            </w:r>
          </w:p>
        </w:tc>
        <w:tc>
          <w:tcPr>
            <w:tcW w:w="1126" w:type="dxa"/>
            <w:tcBorders/>
            <w:vAlign w:val="center"/>
          </w:tcPr>
          <w:p>
            <w:pPr>
              <w:pStyle w:val="TableContents"/>
              <w:bidi w:val="0"/>
              <w:spacing w:before="0" w:after="283"/>
              <w:jc w:val="start"/>
              <w:rPr/>
            </w:pPr>
            <w:r>
              <w:rPr/>
              <w:t>Medium</w:t>
            </w:r>
          </w:p>
        </w:tc>
        <w:tc>
          <w:tcPr>
            <w:tcW w:w="1388" w:type="dxa"/>
            <w:tcBorders/>
            <w:vAlign w:val="center"/>
          </w:tcPr>
          <w:p>
            <w:pPr>
              <w:pStyle w:val="TableContents"/>
              <w:bidi w:val="0"/>
              <w:spacing w:before="0" w:after="283"/>
              <w:jc w:val="start"/>
              <w:rPr/>
            </w:pPr>
            <w:r>
              <w:rPr/>
              <w:t>9-21 min</w:t>
            </w:r>
          </w:p>
        </w:tc>
        <w:tc>
          <w:tcPr>
            <w:tcW w:w="938" w:type="dxa"/>
            <w:tcBorders/>
            <w:vAlign w:val="center"/>
          </w:tcPr>
          <w:p>
            <w:pPr>
              <w:pStyle w:val="TableContents"/>
              <w:bidi w:val="0"/>
              <w:spacing w:before="0" w:after="283"/>
              <w:jc w:val="start"/>
              <w:rPr/>
            </w:pPr>
            <w:r>
              <w:rPr/>
              <w:t>5.2</w:t>
            </w:r>
          </w:p>
        </w:tc>
        <w:tc>
          <w:tcPr>
            <w:tcW w:w="2383" w:type="dxa"/>
            <w:tcBorders/>
            <w:vAlign w:val="center"/>
          </w:tcPr>
          <w:p>
            <w:pPr>
              <w:pStyle w:val="TableContents"/>
              <w:bidi w:val="0"/>
              <w:spacing w:before="0" w:after="283"/>
              <w:jc w:val="start"/>
              <w:rPr/>
            </w:pPr>
            <w:r>
              <w:rPr/>
              <w:t>Moderate delay implies active processing</w:t>
            </w:r>
          </w:p>
        </w:tc>
      </w:tr>
      <w:tr>
        <w:trPr/>
        <w:tc>
          <w:tcPr>
            <w:tcW w:w="2029" w:type="dxa"/>
            <w:tcBorders/>
            <w:vAlign w:val="center"/>
          </w:tcPr>
          <w:p>
            <w:pPr>
              <w:pStyle w:val="TableContents"/>
              <w:bidi w:val="0"/>
              <w:spacing w:before="0" w:after="283"/>
              <w:jc w:val="start"/>
              <w:rPr/>
            </w:pPr>
            <w:r>
              <w:rPr/>
              <w:t>Reimbursement request</w:t>
            </w:r>
          </w:p>
        </w:tc>
        <w:tc>
          <w:tcPr>
            <w:tcW w:w="1126" w:type="dxa"/>
            <w:tcBorders/>
            <w:vAlign w:val="center"/>
          </w:tcPr>
          <w:p>
            <w:pPr>
              <w:pStyle w:val="TableContents"/>
              <w:bidi w:val="0"/>
              <w:spacing w:before="0" w:after="283"/>
              <w:jc w:val="start"/>
              <w:rPr/>
            </w:pPr>
            <w:r>
              <w:rPr/>
              <w:t>Medium</w:t>
            </w:r>
          </w:p>
        </w:tc>
        <w:tc>
          <w:tcPr>
            <w:tcW w:w="1388" w:type="dxa"/>
            <w:tcBorders/>
            <w:vAlign w:val="center"/>
          </w:tcPr>
          <w:p>
            <w:pPr>
              <w:pStyle w:val="TableContents"/>
              <w:bidi w:val="0"/>
              <w:spacing w:before="0" w:after="283"/>
              <w:jc w:val="start"/>
              <w:rPr/>
            </w:pPr>
            <w:r>
              <w:rPr/>
              <w:t>4-12 min</w:t>
            </w:r>
          </w:p>
        </w:tc>
        <w:tc>
          <w:tcPr>
            <w:tcW w:w="938" w:type="dxa"/>
            <w:tcBorders/>
            <w:vAlign w:val="center"/>
          </w:tcPr>
          <w:p>
            <w:pPr>
              <w:pStyle w:val="TableContents"/>
              <w:bidi w:val="0"/>
              <w:spacing w:before="0" w:after="283"/>
              <w:jc w:val="start"/>
              <w:rPr/>
            </w:pPr>
            <w:r>
              <w:rPr/>
              <w:t>7.4</w:t>
            </w:r>
          </w:p>
        </w:tc>
        <w:tc>
          <w:tcPr>
            <w:tcW w:w="2383" w:type="dxa"/>
            <w:tcBorders/>
            <w:vAlign w:val="center"/>
          </w:tcPr>
          <w:p>
            <w:pPr>
              <w:pStyle w:val="TableContents"/>
              <w:bidi w:val="0"/>
              <w:spacing w:before="0" w:after="283"/>
              <w:jc w:val="start"/>
              <w:rPr/>
            </w:pPr>
            <w:r>
              <w:rPr/>
              <w:t>Ownership is publicly legible</w:t>
            </w:r>
          </w:p>
        </w:tc>
      </w:tr>
      <w:tr>
        <w:trPr/>
        <w:tc>
          <w:tcPr>
            <w:tcW w:w="2029" w:type="dxa"/>
            <w:tcBorders/>
            <w:vAlign w:val="center"/>
          </w:tcPr>
          <w:p>
            <w:pPr>
              <w:pStyle w:val="TableContents"/>
              <w:bidi w:val="0"/>
              <w:spacing w:before="0" w:after="283"/>
              <w:jc w:val="start"/>
              <w:rPr/>
            </w:pPr>
            <w:r>
              <w:rPr/>
              <w:t>Public praise trap</w:t>
            </w:r>
          </w:p>
        </w:tc>
        <w:tc>
          <w:tcPr>
            <w:tcW w:w="1126" w:type="dxa"/>
            <w:tcBorders/>
            <w:vAlign w:val="center"/>
          </w:tcPr>
          <w:p>
            <w:pPr>
              <w:pStyle w:val="TableContents"/>
              <w:bidi w:val="0"/>
              <w:spacing w:before="0" w:after="283"/>
              <w:jc w:val="start"/>
              <w:rPr/>
            </w:pPr>
            <w:r>
              <w:rPr/>
              <w:t>Medium</w:t>
            </w:r>
          </w:p>
        </w:tc>
        <w:tc>
          <w:tcPr>
            <w:tcW w:w="1388" w:type="dxa"/>
            <w:tcBorders/>
            <w:vAlign w:val="center"/>
          </w:tcPr>
          <w:p>
            <w:pPr>
              <w:pStyle w:val="TableContents"/>
              <w:bidi w:val="0"/>
              <w:spacing w:before="0" w:after="283"/>
              <w:jc w:val="start"/>
              <w:rPr/>
            </w:pPr>
            <w:r>
              <w:rPr/>
              <w:t>4-12 min</w:t>
            </w:r>
          </w:p>
        </w:tc>
        <w:tc>
          <w:tcPr>
            <w:tcW w:w="938" w:type="dxa"/>
            <w:tcBorders/>
            <w:vAlign w:val="center"/>
          </w:tcPr>
          <w:p>
            <w:pPr>
              <w:pStyle w:val="TableContents"/>
              <w:bidi w:val="0"/>
              <w:spacing w:before="0" w:after="283"/>
              <w:jc w:val="start"/>
              <w:rPr/>
            </w:pPr>
            <w:r>
              <w:rPr/>
              <w:t>9.1</w:t>
            </w:r>
          </w:p>
        </w:tc>
        <w:tc>
          <w:tcPr>
            <w:tcW w:w="2383" w:type="dxa"/>
            <w:tcBorders/>
            <w:vAlign w:val="center"/>
          </w:tcPr>
          <w:p>
            <w:pPr>
              <w:pStyle w:val="TableContents"/>
              <w:bidi w:val="0"/>
              <w:spacing w:before="0" w:after="283"/>
              <w:jc w:val="start"/>
              <w:rPr/>
            </w:pPr>
            <w:r>
              <w:rPr/>
              <w:t>Once your competence is publicly visible, hiding busyness gets harder</w:t>
            </w:r>
          </w:p>
        </w:tc>
      </w:tr>
      <w:tr>
        <w:trPr/>
        <w:tc>
          <w:tcPr>
            <w:tcW w:w="2029" w:type="dxa"/>
            <w:tcBorders/>
            <w:vAlign w:val="center"/>
          </w:tcPr>
          <w:p>
            <w:pPr>
              <w:pStyle w:val="TableContents"/>
              <w:bidi w:val="0"/>
              <w:spacing w:before="0" w:after="283"/>
              <w:jc w:val="start"/>
              <w:rPr/>
            </w:pPr>
            <w:r>
              <w:rPr/>
              <w:t>Advisor red-envelope drop</w:t>
            </w:r>
          </w:p>
        </w:tc>
        <w:tc>
          <w:tcPr>
            <w:tcW w:w="1126" w:type="dxa"/>
            <w:tcBorders/>
            <w:vAlign w:val="center"/>
          </w:tcPr>
          <w:p>
            <w:pPr>
              <w:pStyle w:val="TableContents"/>
              <w:bidi w:val="0"/>
              <w:spacing w:before="0" w:after="283"/>
              <w:jc w:val="start"/>
              <w:rPr/>
            </w:pPr>
            <w:r>
              <w:rPr/>
              <w:t>Low</w:t>
            </w:r>
          </w:p>
        </w:tc>
        <w:tc>
          <w:tcPr>
            <w:tcW w:w="1388" w:type="dxa"/>
            <w:tcBorders/>
            <w:vAlign w:val="center"/>
          </w:tcPr>
          <w:p>
            <w:pPr>
              <w:pStyle w:val="TableContents"/>
              <w:bidi w:val="0"/>
              <w:spacing w:before="0" w:after="283"/>
              <w:jc w:val="start"/>
              <w:rPr/>
            </w:pPr>
            <w:r>
              <w:rPr/>
              <w:t>0-3 min</w:t>
            </w:r>
          </w:p>
        </w:tc>
        <w:tc>
          <w:tcPr>
            <w:tcW w:w="938" w:type="dxa"/>
            <w:tcBorders/>
            <w:vAlign w:val="center"/>
          </w:tcPr>
          <w:p>
            <w:pPr>
              <w:pStyle w:val="TableContents"/>
              <w:bidi w:val="0"/>
              <w:spacing w:before="0" w:after="283"/>
              <w:jc w:val="start"/>
              <w:rPr/>
            </w:pPr>
            <w:r>
              <w:rPr/>
              <w:t>6.6</w:t>
            </w:r>
          </w:p>
        </w:tc>
        <w:tc>
          <w:tcPr>
            <w:tcW w:w="2383" w:type="dxa"/>
            <w:tcBorders/>
            <w:vAlign w:val="center"/>
          </w:tcPr>
          <w:p>
            <w:pPr>
              <w:pStyle w:val="TableContents"/>
              <w:bidi w:val="0"/>
              <w:spacing w:before="0" w:after="283"/>
              <w:jc w:val="start"/>
              <w:rPr/>
            </w:pPr>
            <w:r>
              <w:rPr/>
              <w:t>Gratitude, greed, and attendance collapse into one gesture</w:t>
            </w:r>
          </w:p>
        </w:tc>
      </w:tr>
      <w:tr>
        <w:trPr/>
        <w:tc>
          <w:tcPr>
            <w:tcW w:w="2029" w:type="dxa"/>
            <w:tcBorders/>
            <w:vAlign w:val="center"/>
          </w:tcPr>
          <w:p>
            <w:pPr>
              <w:pStyle w:val="TableContents"/>
              <w:bidi w:val="0"/>
              <w:spacing w:before="0" w:after="283"/>
              <w:jc w:val="start"/>
              <w:rPr/>
            </w:pPr>
            <w:r>
              <w:rPr/>
              <w:t>Soft ping</w:t>
            </w:r>
          </w:p>
        </w:tc>
        <w:tc>
          <w:tcPr>
            <w:tcW w:w="1126" w:type="dxa"/>
            <w:tcBorders/>
            <w:vAlign w:val="center"/>
          </w:tcPr>
          <w:p>
            <w:pPr>
              <w:pStyle w:val="TableContents"/>
              <w:bidi w:val="0"/>
              <w:spacing w:before="0" w:after="283"/>
              <w:jc w:val="start"/>
              <w:rPr/>
            </w:pPr>
            <w:r>
              <w:rPr/>
              <w:t>Low</w:t>
            </w:r>
          </w:p>
        </w:tc>
        <w:tc>
          <w:tcPr>
            <w:tcW w:w="1388" w:type="dxa"/>
            <w:tcBorders/>
            <w:vAlign w:val="center"/>
          </w:tcPr>
          <w:p>
            <w:pPr>
              <w:pStyle w:val="TableContents"/>
              <w:bidi w:val="0"/>
              <w:spacing w:before="0" w:after="283"/>
              <w:jc w:val="start"/>
              <w:rPr/>
            </w:pPr>
            <w:r>
              <w:rPr/>
              <w:t>14-37 min</w:t>
            </w:r>
          </w:p>
        </w:tc>
        <w:tc>
          <w:tcPr>
            <w:tcW w:w="938" w:type="dxa"/>
            <w:tcBorders/>
            <w:vAlign w:val="center"/>
          </w:tcPr>
          <w:p>
            <w:pPr>
              <w:pStyle w:val="TableContents"/>
              <w:bidi w:val="0"/>
              <w:spacing w:before="0" w:after="283"/>
              <w:jc w:val="start"/>
              <w:rPr/>
            </w:pPr>
            <w:r>
              <w:rPr/>
              <w:t>4.7</w:t>
            </w:r>
          </w:p>
        </w:tc>
        <w:tc>
          <w:tcPr>
            <w:tcW w:w="2383" w:type="dxa"/>
            <w:tcBorders/>
            <w:vAlign w:val="center"/>
          </w:tcPr>
          <w:p>
            <w:pPr>
              <w:pStyle w:val="TableContents"/>
              <w:bidi w:val="0"/>
              <w:spacing w:before="0" w:after="283"/>
              <w:jc w:val="start"/>
              <w:rPr/>
            </w:pPr>
            <w:r>
              <w:rPr/>
              <w:t>Too fast looks idle; too slow looks half-dead</w:t>
            </w:r>
          </w:p>
        </w:tc>
      </w:tr>
      <w:tr>
        <w:trPr/>
        <w:tc>
          <w:tcPr>
            <w:tcW w:w="2029" w:type="dxa"/>
            <w:tcBorders/>
            <w:vAlign w:val="center"/>
          </w:tcPr>
          <w:p>
            <w:pPr>
              <w:pStyle w:val="TableContents"/>
              <w:bidi w:val="0"/>
              <w:spacing w:before="0" w:after="283"/>
              <w:jc w:val="start"/>
              <w:rPr/>
            </w:pPr>
            <w:r>
              <w:rPr/>
              <w:t>Holiday roll call</w:t>
            </w:r>
          </w:p>
        </w:tc>
        <w:tc>
          <w:tcPr>
            <w:tcW w:w="1126" w:type="dxa"/>
            <w:tcBorders/>
            <w:vAlign w:val="center"/>
          </w:tcPr>
          <w:p>
            <w:pPr>
              <w:pStyle w:val="TableContents"/>
              <w:bidi w:val="0"/>
              <w:spacing w:before="0" w:after="283"/>
              <w:jc w:val="start"/>
              <w:rPr/>
            </w:pPr>
            <w:r>
              <w:rPr/>
              <w:t>Low</w:t>
            </w:r>
          </w:p>
        </w:tc>
        <w:tc>
          <w:tcPr>
            <w:tcW w:w="1388" w:type="dxa"/>
            <w:tcBorders/>
            <w:vAlign w:val="center"/>
          </w:tcPr>
          <w:p>
            <w:pPr>
              <w:pStyle w:val="TableContents"/>
              <w:bidi w:val="0"/>
              <w:spacing w:before="0" w:after="283"/>
              <w:jc w:val="start"/>
              <w:rPr/>
            </w:pPr>
            <w:r>
              <w:rPr/>
              <w:t>18-46 min</w:t>
            </w:r>
          </w:p>
        </w:tc>
        <w:tc>
          <w:tcPr>
            <w:tcW w:w="938" w:type="dxa"/>
            <w:tcBorders/>
            <w:vAlign w:val="center"/>
          </w:tcPr>
          <w:p>
            <w:pPr>
              <w:pStyle w:val="TableContents"/>
              <w:bidi w:val="0"/>
              <w:spacing w:before="0" w:after="283"/>
              <w:jc w:val="start"/>
              <w:rPr/>
            </w:pPr>
            <w:r>
              <w:rPr/>
              <w:t>5.9</w:t>
            </w:r>
          </w:p>
        </w:tc>
        <w:tc>
          <w:tcPr>
            <w:tcW w:w="2383" w:type="dxa"/>
            <w:tcBorders/>
            <w:vAlign w:val="center"/>
          </w:tcPr>
          <w:p>
            <w:pPr>
              <w:pStyle w:val="TableContents"/>
              <w:bidi w:val="0"/>
              <w:spacing w:before="0" w:after="283"/>
              <w:jc w:val="start"/>
              <w:rPr/>
            </w:pPr>
            <w:r>
              <w:rPr/>
              <w:t>Everyone is slower and somehow nobody is forgiven evenly</w:t>
            </w:r>
          </w:p>
        </w:tc>
      </w:tr>
    </w:tbl>
    <w:p>
      <w:pPr>
        <w:pStyle w:val="Heading2sectiontitle"/>
        <w:pBdr/>
        <w:bidi w:val="0"/>
        <w:jc w:val="start"/>
        <w:rPr/>
      </w:pPr>
      <w:r>
        <w:rPr/>
        <w:t>Table 2. Role-Heterogeneity Windows</w:t>
      </w:r>
    </w:p>
    <w:tbl>
      <w:tblPr>
        <w:tblW w:w="7864" w:type="dxa"/>
        <w:jc w:val="start"/>
        <w:tblInd w:w="28" w:type="dxa"/>
        <w:tblCellMar>
          <w:top w:w="28" w:type="dxa"/>
          <w:start w:w="28" w:type="dxa"/>
          <w:bottom w:w="28" w:type="dxa"/>
          <w:end w:w="28" w:type="dxa"/>
        </w:tblCellMar>
      </w:tblPr>
      <w:tblGrid>
        <w:gridCol w:w="3286"/>
        <w:gridCol w:w="1726"/>
        <w:gridCol w:w="1156"/>
        <w:gridCol w:w="1696"/>
      </w:tblGrid>
      <w:tr>
        <w:trPr>
          <w:tblHeader w:val="true"/>
        </w:trPr>
        <w:tc>
          <w:tcPr>
            <w:tcW w:w="3286" w:type="dxa"/>
            <w:tcBorders/>
            <w:vAlign w:val="center"/>
          </w:tcPr>
          <w:p>
            <w:pPr>
              <w:pStyle w:val="TableHeading"/>
              <w:suppressLineNumbers/>
              <w:shd w:fill="EFE6D7" w:val="clear"/>
              <w:bidi w:val="0"/>
              <w:spacing w:before="0" w:after="283"/>
              <w:jc w:val="start"/>
              <w:rPr/>
            </w:pPr>
            <w:r>
              <w:rPr/>
              <w:t>Role Type</w:t>
            </w:r>
          </w:p>
        </w:tc>
        <w:tc>
          <w:tcPr>
            <w:tcW w:w="1726" w:type="dxa"/>
            <w:tcBorders/>
            <w:vAlign w:val="center"/>
          </w:tcPr>
          <w:p>
            <w:pPr>
              <w:pStyle w:val="TableHeading"/>
              <w:suppressLineNumbers/>
              <w:shd w:fill="EFE6D7" w:val="clear"/>
              <w:bidi w:val="0"/>
              <w:spacing w:before="0" w:after="283"/>
              <w:jc w:val="start"/>
              <w:rPr/>
            </w:pPr>
            <w:r>
              <w:rPr/>
              <w:t>Typical Scene</w:t>
            </w:r>
          </w:p>
        </w:tc>
        <w:tc>
          <w:tcPr>
            <w:tcW w:w="1156" w:type="dxa"/>
            <w:tcBorders/>
            <w:vAlign w:val="center"/>
          </w:tcPr>
          <w:p>
            <w:pPr>
              <w:pStyle w:val="TableHeading"/>
              <w:suppressLineNumbers/>
              <w:shd w:fill="EFE6D7" w:val="clear"/>
              <w:bidi w:val="0"/>
              <w:spacing w:before="0" w:after="283"/>
              <w:jc w:val="start"/>
              <w:rPr/>
            </w:pPr>
            <w:r>
              <w:rPr/>
              <w:t>Optimal Reply Window</w:t>
            </w:r>
          </w:p>
        </w:tc>
        <w:tc>
          <w:tcPr>
            <w:tcW w:w="1696" w:type="dxa"/>
            <w:tcBorders/>
            <w:vAlign w:val="center"/>
          </w:tcPr>
          <w:p>
            <w:pPr>
              <w:pStyle w:val="TableHeading"/>
              <w:suppressLineNumbers/>
              <w:shd w:fill="EFE6D7" w:val="clear"/>
              <w:bidi w:val="0"/>
              <w:spacing w:before="0" w:after="283"/>
              <w:jc w:val="start"/>
              <w:rPr/>
            </w:pPr>
            <w:r>
              <w:rPr/>
              <w:t>Strategic Constraint</w:t>
            </w:r>
          </w:p>
        </w:tc>
      </w:tr>
      <w:tr>
        <w:trPr/>
        <w:tc>
          <w:tcPr>
            <w:tcW w:w="3286" w:type="dxa"/>
            <w:tcBorders/>
            <w:vAlign w:val="center"/>
          </w:tcPr>
          <w:p>
            <w:pPr>
              <w:pStyle w:val="TableContents"/>
              <w:bidi w:val="0"/>
              <w:spacing w:before="0" w:after="283"/>
              <w:jc w:val="start"/>
              <w:rPr/>
            </w:pPr>
            <w:r>
              <w:rPr/>
              <w:t>---</w:t>
            </w:r>
          </w:p>
        </w:tc>
        <w:tc>
          <w:tcPr>
            <w:tcW w:w="1726" w:type="dxa"/>
            <w:tcBorders/>
            <w:vAlign w:val="center"/>
          </w:tcPr>
          <w:p>
            <w:pPr>
              <w:pStyle w:val="TableContents"/>
              <w:bidi w:val="0"/>
              <w:spacing w:before="0" w:after="283"/>
              <w:jc w:val="start"/>
              <w:rPr/>
            </w:pPr>
            <w:r>
              <w:rPr/>
              <w:t>---</w:t>
            </w:r>
          </w:p>
        </w:tc>
        <w:tc>
          <w:tcPr>
            <w:tcW w:w="1156" w:type="dxa"/>
            <w:tcBorders/>
            <w:vAlign w:val="center"/>
          </w:tcPr>
          <w:p>
            <w:pPr>
              <w:pStyle w:val="TableContents"/>
              <w:bidi w:val="0"/>
              <w:spacing w:before="0" w:after="283"/>
              <w:jc w:val="start"/>
              <w:rPr/>
            </w:pPr>
            <w:r>
              <w:rPr/>
              <w:t>---</w:t>
            </w:r>
          </w:p>
        </w:tc>
        <w:tc>
          <w:tcPr>
            <w:tcW w:w="1696" w:type="dxa"/>
            <w:tcBorders/>
            <w:vAlign w:val="center"/>
          </w:tcPr>
          <w:p>
            <w:pPr>
              <w:pStyle w:val="TableContents"/>
              <w:bidi w:val="0"/>
              <w:spacing w:before="0" w:after="283"/>
              <w:jc w:val="start"/>
              <w:rPr/>
            </w:pPr>
            <w:r>
              <w:rPr/>
              <w:t>---</w:t>
            </w:r>
          </w:p>
        </w:tc>
      </w:tr>
      <w:tr>
        <w:trPr/>
        <w:tc>
          <w:tcPr>
            <w:tcW w:w="3286" w:type="dxa"/>
            <w:tcBorders/>
            <w:vAlign w:val="center"/>
          </w:tcPr>
          <w:p>
            <w:pPr>
              <w:pStyle w:val="TableContents"/>
              <w:bidi w:val="0"/>
              <w:spacing w:before="0" w:after="283"/>
              <w:jc w:val="start"/>
              <w:rPr/>
            </w:pPr>
            <w:r>
              <w:rPr/>
              <w:t>First-author junior</w:t>
            </w:r>
          </w:p>
        </w:tc>
        <w:tc>
          <w:tcPr>
            <w:tcW w:w="1726" w:type="dxa"/>
            <w:tcBorders/>
            <w:vAlign w:val="center"/>
          </w:tcPr>
          <w:p>
            <w:pPr>
              <w:pStyle w:val="TableContents"/>
              <w:bidi w:val="0"/>
              <w:spacing w:before="0" w:after="283"/>
              <w:jc w:val="start"/>
              <w:rPr/>
            </w:pPr>
            <w:r>
              <w:rPr/>
              <w:t>Draft comments, revision requests</w:t>
            </w:r>
          </w:p>
        </w:tc>
        <w:tc>
          <w:tcPr>
            <w:tcW w:w="1156" w:type="dxa"/>
            <w:tcBorders/>
            <w:vAlign w:val="center"/>
          </w:tcPr>
          <w:p>
            <w:pPr>
              <w:pStyle w:val="TableContents"/>
              <w:bidi w:val="0"/>
              <w:spacing w:before="0" w:after="283"/>
              <w:jc w:val="start"/>
              <w:rPr/>
            </w:pPr>
            <w:r>
              <w:rPr/>
              <w:t>5-14 min</w:t>
            </w:r>
          </w:p>
        </w:tc>
        <w:tc>
          <w:tcPr>
            <w:tcW w:w="1696" w:type="dxa"/>
            <w:tcBorders/>
            <w:vAlign w:val="center"/>
          </w:tcPr>
          <w:p>
            <w:pPr>
              <w:pStyle w:val="TableContents"/>
              <w:bidi w:val="0"/>
              <w:spacing w:before="0" w:after="283"/>
              <w:jc w:val="start"/>
              <w:rPr/>
            </w:pPr>
            <w:r>
              <w:rPr/>
              <w:t>Public responsibility, low veto</w:t>
            </w:r>
          </w:p>
        </w:tc>
      </w:tr>
      <w:tr>
        <w:trPr/>
        <w:tc>
          <w:tcPr>
            <w:tcW w:w="3286" w:type="dxa"/>
            <w:tcBorders/>
            <w:vAlign w:val="center"/>
          </w:tcPr>
          <w:p>
            <w:pPr>
              <w:pStyle w:val="TableContents"/>
              <w:bidi w:val="0"/>
              <w:spacing w:before="0" w:after="283"/>
              <w:jc w:val="start"/>
              <w:rPr/>
            </w:pPr>
            <w:r>
              <w:rPr/>
              <w:t>Procurement-reimbursement bottleneck</w:t>
            </w:r>
          </w:p>
        </w:tc>
        <w:tc>
          <w:tcPr>
            <w:tcW w:w="1726" w:type="dxa"/>
            <w:tcBorders/>
            <w:vAlign w:val="center"/>
          </w:tcPr>
          <w:p>
            <w:pPr>
              <w:pStyle w:val="TableContents"/>
              <w:bidi w:val="0"/>
              <w:spacing w:before="0" w:after="283"/>
              <w:jc w:val="start"/>
              <w:rPr/>
            </w:pPr>
            <w:r>
              <w:rPr/>
              <w:t>Purchasing, reimbursement, forms</w:t>
            </w:r>
          </w:p>
        </w:tc>
        <w:tc>
          <w:tcPr>
            <w:tcW w:w="1156" w:type="dxa"/>
            <w:tcBorders/>
            <w:vAlign w:val="center"/>
          </w:tcPr>
          <w:p>
            <w:pPr>
              <w:pStyle w:val="TableContents"/>
              <w:bidi w:val="0"/>
              <w:spacing w:before="0" w:after="283"/>
              <w:jc w:val="start"/>
              <w:rPr/>
            </w:pPr>
            <w:r>
              <w:rPr/>
              <w:t>4-12 min</w:t>
            </w:r>
          </w:p>
        </w:tc>
        <w:tc>
          <w:tcPr>
            <w:tcW w:w="1696" w:type="dxa"/>
            <w:tcBorders/>
            <w:vAlign w:val="center"/>
          </w:tcPr>
          <w:p>
            <w:pPr>
              <w:pStyle w:val="TableContents"/>
              <w:bidi w:val="0"/>
              <w:spacing w:before="0" w:after="283"/>
              <w:jc w:val="start"/>
              <w:rPr/>
            </w:pPr>
            <w:r>
              <w:rPr/>
              <w:t>Material ownership, invoice and form bottleneck</w:t>
            </w:r>
          </w:p>
        </w:tc>
      </w:tr>
      <w:tr>
        <w:trPr/>
        <w:tc>
          <w:tcPr>
            <w:tcW w:w="3286" w:type="dxa"/>
            <w:tcBorders/>
            <w:vAlign w:val="center"/>
          </w:tcPr>
          <w:p>
            <w:pPr>
              <w:pStyle w:val="TableContents"/>
              <w:bidi w:val="0"/>
              <w:spacing w:before="0" w:after="283"/>
              <w:jc w:val="start"/>
              <w:rPr/>
            </w:pPr>
            <w:r>
              <w:rPr/>
              <w:t>Gatekeeping dog</w:t>
            </w:r>
          </w:p>
        </w:tc>
        <w:tc>
          <w:tcPr>
            <w:tcW w:w="1726" w:type="dxa"/>
            <w:tcBorders/>
            <w:vAlign w:val="center"/>
          </w:tcPr>
          <w:p>
            <w:pPr>
              <w:pStyle w:val="TableContents"/>
              <w:bidi w:val="0"/>
              <w:spacing w:before="0" w:after="283"/>
              <w:jc w:val="start"/>
              <w:rPr/>
            </w:pPr>
            <w:r>
              <w:rPr/>
              <w:t>Administrative reminders, attendance checks</w:t>
            </w:r>
          </w:p>
        </w:tc>
        <w:tc>
          <w:tcPr>
            <w:tcW w:w="1156" w:type="dxa"/>
            <w:tcBorders/>
            <w:vAlign w:val="center"/>
          </w:tcPr>
          <w:p>
            <w:pPr>
              <w:pStyle w:val="TableContents"/>
              <w:bidi w:val="0"/>
              <w:spacing w:before="0" w:after="283"/>
              <w:jc w:val="start"/>
              <w:rPr/>
            </w:pPr>
            <w:r>
              <w:rPr/>
              <w:t>2-8 min</w:t>
            </w:r>
          </w:p>
        </w:tc>
        <w:tc>
          <w:tcPr>
            <w:tcW w:w="1696" w:type="dxa"/>
            <w:tcBorders/>
            <w:vAlign w:val="center"/>
          </w:tcPr>
          <w:p>
            <w:pPr>
              <w:pStyle w:val="TableContents"/>
              <w:bidi w:val="0"/>
              <w:spacing w:before="0" w:after="283"/>
              <w:jc w:val="start"/>
              <w:rPr/>
            </w:pPr>
            <w:r>
              <w:rPr/>
              <w:t>Procedural vigilance and self-appointed orderkeeping</w:t>
            </w:r>
          </w:p>
        </w:tc>
      </w:tr>
      <w:tr>
        <w:trPr/>
        <w:tc>
          <w:tcPr>
            <w:tcW w:w="3286" w:type="dxa"/>
            <w:tcBorders/>
            <w:vAlign w:val="center"/>
          </w:tcPr>
          <w:p>
            <w:pPr>
              <w:pStyle w:val="TableContents"/>
              <w:bidi w:val="0"/>
              <w:spacing w:before="0" w:after="283"/>
              <w:jc w:val="start"/>
              <w:rPr/>
            </w:pPr>
            <w:r>
              <w:rPr/>
              <w:t>Experiment operator</w:t>
            </w:r>
          </w:p>
        </w:tc>
        <w:tc>
          <w:tcPr>
            <w:tcW w:w="1726" w:type="dxa"/>
            <w:tcBorders/>
            <w:vAlign w:val="center"/>
          </w:tcPr>
          <w:p>
            <w:pPr>
              <w:pStyle w:val="TableContents"/>
              <w:bidi w:val="0"/>
              <w:spacing w:before="0" w:after="283"/>
              <w:jc w:val="start"/>
              <w:rPr/>
            </w:pPr>
            <w:r>
              <w:rPr/>
              <w:t>Instrument failure, sample issue</w:t>
            </w:r>
          </w:p>
        </w:tc>
        <w:tc>
          <w:tcPr>
            <w:tcW w:w="1156" w:type="dxa"/>
            <w:tcBorders/>
            <w:vAlign w:val="center"/>
          </w:tcPr>
          <w:p>
            <w:pPr>
              <w:pStyle w:val="TableContents"/>
              <w:bidi w:val="0"/>
              <w:spacing w:before="0" w:after="283"/>
              <w:jc w:val="start"/>
              <w:rPr/>
            </w:pPr>
            <w:r>
              <w:rPr/>
              <w:t>3-11 min</w:t>
            </w:r>
          </w:p>
        </w:tc>
        <w:tc>
          <w:tcPr>
            <w:tcW w:w="1696" w:type="dxa"/>
            <w:tcBorders/>
            <w:vAlign w:val="center"/>
          </w:tcPr>
          <w:p>
            <w:pPr>
              <w:pStyle w:val="TableContents"/>
              <w:bidi w:val="0"/>
              <w:spacing w:before="0" w:after="283"/>
              <w:jc w:val="start"/>
              <w:rPr/>
            </w:pPr>
            <w:r>
              <w:rPr/>
              <w:t>Clear technical ownership</w:t>
            </w:r>
          </w:p>
        </w:tc>
      </w:tr>
      <w:tr>
        <w:trPr/>
        <w:tc>
          <w:tcPr>
            <w:tcW w:w="3286" w:type="dxa"/>
            <w:tcBorders/>
            <w:vAlign w:val="center"/>
          </w:tcPr>
          <w:p>
            <w:pPr>
              <w:pStyle w:val="TableContents"/>
              <w:bidi w:val="0"/>
              <w:spacing w:before="0" w:after="283"/>
              <w:jc w:val="start"/>
              <w:rPr/>
            </w:pPr>
            <w:r>
              <w:rPr/>
              <w:t>Postdoc proxy</w:t>
            </w:r>
          </w:p>
        </w:tc>
        <w:tc>
          <w:tcPr>
            <w:tcW w:w="1726" w:type="dxa"/>
            <w:tcBorders/>
            <w:vAlign w:val="center"/>
          </w:tcPr>
          <w:p>
            <w:pPr>
              <w:pStyle w:val="TableContents"/>
              <w:bidi w:val="0"/>
              <w:spacing w:before="0" w:after="283"/>
              <w:jc w:val="start"/>
              <w:rPr/>
            </w:pPr>
            <w:r>
              <w:rPr/>
              <w:t>Advisor relay, coordination</w:t>
            </w:r>
          </w:p>
        </w:tc>
        <w:tc>
          <w:tcPr>
            <w:tcW w:w="1156" w:type="dxa"/>
            <w:tcBorders/>
            <w:vAlign w:val="center"/>
          </w:tcPr>
          <w:p>
            <w:pPr>
              <w:pStyle w:val="TableContents"/>
              <w:bidi w:val="0"/>
              <w:spacing w:before="0" w:after="283"/>
              <w:jc w:val="start"/>
              <w:rPr/>
            </w:pPr>
            <w:r>
              <w:rPr/>
              <w:t>7-19 min</w:t>
            </w:r>
          </w:p>
        </w:tc>
        <w:tc>
          <w:tcPr>
            <w:tcW w:w="1696" w:type="dxa"/>
            <w:tcBorders/>
            <w:vAlign w:val="center"/>
          </w:tcPr>
          <w:p>
            <w:pPr>
              <w:pStyle w:val="TableContents"/>
              <w:bidi w:val="0"/>
              <w:spacing w:before="0" w:after="283"/>
              <w:jc w:val="start"/>
              <w:rPr/>
            </w:pPr>
            <w:r>
              <w:rPr/>
              <w:t>Hierarchical delegation</w:t>
            </w:r>
          </w:p>
        </w:tc>
      </w:tr>
      <w:tr>
        <w:trPr/>
        <w:tc>
          <w:tcPr>
            <w:tcW w:w="3286" w:type="dxa"/>
            <w:tcBorders/>
            <w:vAlign w:val="center"/>
          </w:tcPr>
          <w:p>
            <w:pPr>
              <w:pStyle w:val="TableContents"/>
              <w:bidi w:val="0"/>
              <w:spacing w:before="0" w:after="283"/>
              <w:jc w:val="start"/>
              <w:rPr/>
            </w:pPr>
            <w:r>
              <w:rPr/>
              <w:t>Dragging bottle</w:t>
            </w:r>
          </w:p>
        </w:tc>
        <w:tc>
          <w:tcPr>
            <w:tcW w:w="1726" w:type="dxa"/>
            <w:tcBorders/>
            <w:vAlign w:val="center"/>
          </w:tcPr>
          <w:p>
            <w:pPr>
              <w:pStyle w:val="TableContents"/>
              <w:bidi w:val="0"/>
              <w:spacing w:before="0" w:after="283"/>
              <w:jc w:val="start"/>
              <w:rPr/>
            </w:pPr>
            <w:r>
              <w:rPr/>
              <w:t>Shared task chain, low-urgency follow-up</w:t>
            </w:r>
          </w:p>
        </w:tc>
        <w:tc>
          <w:tcPr>
            <w:tcW w:w="1156" w:type="dxa"/>
            <w:tcBorders/>
            <w:vAlign w:val="center"/>
          </w:tcPr>
          <w:p>
            <w:pPr>
              <w:pStyle w:val="TableContents"/>
              <w:bidi w:val="0"/>
              <w:spacing w:before="0" w:after="283"/>
              <w:jc w:val="start"/>
              <w:rPr/>
            </w:pPr>
            <w:r>
              <w:rPr/>
              <w:t>18-41 min</w:t>
            </w:r>
          </w:p>
        </w:tc>
        <w:tc>
          <w:tcPr>
            <w:tcW w:w="1696" w:type="dxa"/>
            <w:tcBorders/>
            <w:vAlign w:val="center"/>
          </w:tcPr>
          <w:p>
            <w:pPr>
              <w:pStyle w:val="TableContents"/>
              <w:bidi w:val="0"/>
              <w:spacing w:before="0" w:after="283"/>
              <w:jc w:val="start"/>
              <w:rPr/>
            </w:pPr>
            <w:r>
              <w:rPr/>
              <w:t>Slow tempo becomes everyone else’s scheduling problem</w:t>
            </w:r>
          </w:p>
        </w:tc>
      </w:tr>
      <w:tr>
        <w:trPr/>
        <w:tc>
          <w:tcPr>
            <w:tcW w:w="3286" w:type="dxa"/>
            <w:tcBorders/>
            <w:vAlign w:val="center"/>
          </w:tcPr>
          <w:p>
            <w:pPr>
              <w:pStyle w:val="TableContents"/>
              <w:bidi w:val="0"/>
              <w:spacing w:before="0" w:after="283"/>
              <w:jc w:val="start"/>
              <w:rPr/>
            </w:pPr>
            <w:r>
              <w:rPr/>
              <w:t>Generic junior bystander</w:t>
            </w:r>
          </w:p>
        </w:tc>
        <w:tc>
          <w:tcPr>
            <w:tcW w:w="1726" w:type="dxa"/>
            <w:tcBorders/>
            <w:vAlign w:val="center"/>
          </w:tcPr>
          <w:p>
            <w:pPr>
              <w:pStyle w:val="TableContents"/>
              <w:bidi w:val="0"/>
              <w:spacing w:before="0" w:after="283"/>
              <w:jc w:val="start"/>
              <w:rPr/>
            </w:pPr>
            <w:r>
              <w:rPr/>
              <w:t>Lab-wide reminder</w:t>
            </w:r>
          </w:p>
        </w:tc>
        <w:tc>
          <w:tcPr>
            <w:tcW w:w="1156" w:type="dxa"/>
            <w:tcBorders/>
            <w:vAlign w:val="center"/>
          </w:tcPr>
          <w:p>
            <w:pPr>
              <w:pStyle w:val="TableContents"/>
              <w:bidi w:val="0"/>
              <w:spacing w:before="0" w:after="283"/>
              <w:jc w:val="start"/>
              <w:rPr/>
            </w:pPr>
            <w:r>
              <w:rPr/>
              <w:t>14-36 min</w:t>
            </w:r>
          </w:p>
        </w:tc>
        <w:tc>
          <w:tcPr>
            <w:tcW w:w="1696" w:type="dxa"/>
            <w:tcBorders/>
            <w:vAlign w:val="center"/>
          </w:tcPr>
          <w:p>
            <w:pPr>
              <w:pStyle w:val="TableContents"/>
              <w:bidi w:val="0"/>
              <w:spacing w:before="0" w:after="283"/>
              <w:jc w:val="start"/>
              <w:rPr/>
            </w:pPr>
            <w:r>
              <w:rPr/>
              <w:t>Can impersonate the crowd only while ownership remains unclear</w:t>
            </w:r>
          </w:p>
        </w:tc>
      </w:tr>
      <w:tr>
        <w:trPr/>
        <w:tc>
          <w:tcPr>
            <w:tcW w:w="3286" w:type="dxa"/>
            <w:tcBorders/>
            <w:vAlign w:val="center"/>
          </w:tcPr>
          <w:p>
            <w:pPr>
              <w:pStyle w:val="TableContents"/>
              <w:bidi w:val="0"/>
              <w:spacing w:before="0" w:after="283"/>
              <w:jc w:val="start"/>
              <w:rPr/>
            </w:pPr>
            <w:r>
              <w:rPr/>
              <w:t>Peer-only muddy-water fish</w:t>
            </w:r>
          </w:p>
        </w:tc>
        <w:tc>
          <w:tcPr>
            <w:tcW w:w="1726" w:type="dxa"/>
            <w:tcBorders/>
            <w:vAlign w:val="center"/>
          </w:tcPr>
          <w:p>
            <w:pPr>
              <w:pStyle w:val="TableContents"/>
              <w:bidi w:val="0"/>
              <w:spacing w:before="0" w:after="283"/>
              <w:jc w:val="start"/>
              <w:rPr/>
            </w:pPr>
            <w:r>
              <w:rPr/>
              <w:t>Horizontal coordination</w:t>
            </w:r>
          </w:p>
        </w:tc>
        <w:tc>
          <w:tcPr>
            <w:tcW w:w="1156" w:type="dxa"/>
            <w:tcBorders/>
            <w:vAlign w:val="center"/>
          </w:tcPr>
          <w:p>
            <w:pPr>
              <w:pStyle w:val="TableContents"/>
              <w:bidi w:val="0"/>
              <w:spacing w:before="0" w:after="283"/>
              <w:jc w:val="start"/>
              <w:rPr/>
            </w:pPr>
            <w:r>
              <w:rPr/>
              <w:t>22-61 min</w:t>
            </w:r>
          </w:p>
        </w:tc>
        <w:tc>
          <w:tcPr>
            <w:tcW w:w="1696" w:type="dxa"/>
            <w:tcBorders/>
            <w:vAlign w:val="center"/>
          </w:tcPr>
          <w:p>
            <w:pPr>
              <w:pStyle w:val="TableContents"/>
              <w:bidi w:val="0"/>
              <w:spacing w:before="0" w:after="283"/>
              <w:jc w:val="start"/>
              <w:rPr/>
            </w:pPr>
            <w:r>
              <w:rPr/>
              <w:t>Under low advisor visibility, waiting is itself a skill</w:t>
            </w:r>
          </w:p>
        </w:tc>
      </w:tr>
    </w:tbl>
    <w:p>
      <w:pPr>
        <w:pStyle w:val="Heading2sectiontitle"/>
        <w:pBdr/>
        <w:bidi w:val="0"/>
        <w:jc w:val="start"/>
        <w:rPr/>
      </w:pPr>
      <w:r>
        <w:rPr/>
        <w:t>References</w:t>
      </w:r>
    </w:p>
    <w:p>
      <w:pPr>
        <w:pStyle w:val="TextBody"/>
        <w:bidi w:val="0"/>
        <w:spacing w:before="0" w:after="283"/>
        <w:jc w:val="start"/>
        <w:rPr/>
      </w:pPr>
      <w:r>
        <w:rPr/>
        <w:t xml:space="preserve">Alvesson, M. (2013). </w:t>
      </w:r>
      <w:r>
        <w:rPr>
          <w:rStyle w:val="Emphasis"/>
        </w:rPr>
        <w:t>The triumph of emptiness: Consumption, higher education, and work organization</w:t>
      </w:r>
      <w:r>
        <w:rPr/>
        <w:t>. Oxford University Press.</w:t>
      </w:r>
    </w:p>
    <w:p>
      <w:pPr>
        <w:pStyle w:val="TextBody"/>
        <w:bidi w:val="0"/>
        <w:spacing w:before="0" w:after="283"/>
        <w:jc w:val="start"/>
        <w:rPr/>
      </w:pPr>
      <w:r>
        <w:rPr/>
        <w:t xml:space="preserve">Barber, L. K., &amp; Santuzzi, A. M. (2015). Please respond ASAP: workplace telepressure and employee recovery. </w:t>
      </w:r>
      <w:r>
        <w:rPr>
          <w:rStyle w:val="Emphasis"/>
        </w:rPr>
        <w:t>Journal of Occupational Health Psychology, 20</w:t>
      </w:r>
      <w:r>
        <w:rPr/>
        <w:t>(2), 172-189.</w:t>
      </w:r>
    </w:p>
    <w:p>
      <w:pPr>
        <w:pStyle w:val="TextBody"/>
        <w:bidi w:val="0"/>
        <w:spacing w:before="0" w:after="283"/>
        <w:jc w:val="start"/>
        <w:rPr/>
      </w:pPr>
      <w:r>
        <w:rPr/>
        <w:t xml:space="preserve">Berger, J., Cohen, B. P., &amp; Zelditch, M., Jr. (1972). Status characteristics and social interaction. </w:t>
      </w:r>
      <w:r>
        <w:rPr>
          <w:rStyle w:val="Emphasis"/>
        </w:rPr>
        <w:t>American Sociological Review, 37</w:t>
      </w:r>
      <w:r>
        <w:rPr/>
        <w:t>(3), 241-255.</w:t>
      </w:r>
    </w:p>
    <w:p>
      <w:pPr>
        <w:pStyle w:val="TextBody"/>
        <w:bidi w:val="0"/>
        <w:spacing w:before="0" w:after="283"/>
        <w:jc w:val="start"/>
        <w:rPr/>
      </w:pPr>
      <w:r>
        <w:rPr/>
        <w:t xml:space="preserve">Darley, J. M., &amp; Latané, B. (1968). Bystander intervention in emergencies: Diffusion of responsibility. </w:t>
      </w:r>
      <w:r>
        <w:rPr>
          <w:rStyle w:val="Emphasis"/>
        </w:rPr>
        <w:t>Journal of Personality and Social Psychology, 8</w:t>
      </w:r>
      <w:r>
        <w:rPr/>
        <w:t>(4, Pt. 1), 377-383.</w:t>
      </w:r>
    </w:p>
    <w:p>
      <w:pPr>
        <w:pStyle w:val="TextBody"/>
        <w:bidi w:val="0"/>
        <w:spacing w:before="0" w:after="283"/>
        <w:jc w:val="start"/>
        <w:rPr/>
      </w:pPr>
      <w:r>
        <w:rPr/>
        <w:t xml:space="preserve">Daft, R. L., &amp; Lengel, R. H. (1986). Organizational information requirements, media richness and structural design. </w:t>
      </w:r>
      <w:r>
        <w:rPr>
          <w:rStyle w:val="Emphasis"/>
        </w:rPr>
        <w:t>Management Science, 32</w:t>
      </w:r>
      <w:r>
        <w:rPr/>
        <w:t>(5), 554-571.</w:t>
      </w:r>
    </w:p>
    <w:p>
      <w:pPr>
        <w:pStyle w:val="TextBody"/>
        <w:bidi w:val="0"/>
        <w:spacing w:before="0" w:after="283"/>
        <w:jc w:val="start"/>
        <w:rPr/>
      </w:pPr>
      <w:r>
        <w:rPr/>
        <w:t xml:space="preserve">Diekmann, A. (1985). Volunteer's dilemma. </w:t>
      </w:r>
      <w:r>
        <w:rPr>
          <w:rStyle w:val="Emphasis"/>
        </w:rPr>
        <w:t>Journal of Conflict Resolution, 29</w:t>
      </w:r>
      <w:r>
        <w:rPr/>
        <w:t>(4), 605-610.</w:t>
      </w:r>
    </w:p>
    <w:p>
      <w:pPr>
        <w:pStyle w:val="TextBody"/>
        <w:bidi w:val="0"/>
        <w:spacing w:before="0" w:after="283"/>
        <w:jc w:val="start"/>
        <w:rPr/>
      </w:pPr>
      <w:r>
        <w:rPr/>
        <w:t xml:space="preserve">Diekmann, A. (1993). Cooperation in an asymmetric volunteer's dilemma game: Theory and experimental evidence. </w:t>
      </w:r>
      <w:r>
        <w:rPr>
          <w:rStyle w:val="Emphasis"/>
        </w:rPr>
        <w:t>International Journal of Game Theory, 22</w:t>
      </w:r>
      <w:r>
        <w:rPr/>
        <w:t>, 75-85.</w:t>
      </w:r>
    </w:p>
    <w:p>
      <w:pPr>
        <w:pStyle w:val="TextBody"/>
        <w:bidi w:val="0"/>
        <w:spacing w:before="0" w:after="283"/>
        <w:jc w:val="start"/>
        <w:rPr/>
      </w:pPr>
      <w:r>
        <w:rPr/>
        <w:t xml:space="preserve">Goffman, E. (1959). </w:t>
      </w:r>
      <w:r>
        <w:rPr>
          <w:rStyle w:val="Emphasis"/>
        </w:rPr>
        <w:t>The presentation of self in everyday life</w:t>
      </w:r>
      <w:r>
        <w:rPr/>
        <w:t>. Doubleday.</w:t>
      </w:r>
    </w:p>
    <w:p>
      <w:pPr>
        <w:pStyle w:val="TextBody"/>
        <w:bidi w:val="0"/>
        <w:spacing w:before="0" w:after="283"/>
        <w:jc w:val="start"/>
        <w:rPr/>
      </w:pPr>
      <w:r>
        <w:rPr/>
        <w:t xml:space="preserve">Hochschild, A. R. (1983). </w:t>
      </w:r>
      <w:r>
        <w:rPr>
          <w:rStyle w:val="Emphasis"/>
        </w:rPr>
        <w:t>The managed heart: Commercialization of human feeling</w:t>
      </w:r>
      <w:r>
        <w:rPr/>
        <w:t>. University of California Press.</w:t>
      </w:r>
    </w:p>
    <w:p>
      <w:pPr>
        <w:pStyle w:val="TextBody"/>
        <w:bidi w:val="0"/>
        <w:spacing w:before="0" w:after="283"/>
        <w:jc w:val="start"/>
        <w:rPr/>
      </w:pPr>
      <w:r>
        <w:rPr/>
        <w:t xml:space="preserve">Kalman, Y. M., Scissors, L. E., Gill, A. J., &amp; Gergle, D. (2013). Online chronemics convey social information. </w:t>
      </w:r>
      <w:r>
        <w:rPr>
          <w:rStyle w:val="Emphasis"/>
        </w:rPr>
        <w:t>Computers in Human Behavior, 29</w:t>
      </w:r>
      <w:r>
        <w:rPr/>
        <w:t>(3), 1260-1269.</w:t>
      </w:r>
    </w:p>
    <w:p>
      <w:pPr>
        <w:pStyle w:val="TextBody"/>
        <w:bidi w:val="0"/>
        <w:spacing w:before="0" w:after="283"/>
        <w:jc w:val="start"/>
        <w:rPr/>
      </w:pPr>
      <w:r>
        <w:rPr/>
        <w:t xml:space="preserve">Kreps, D. M., &amp; Wilson, R. (1982). Reputation and imperfect information. </w:t>
      </w:r>
      <w:r>
        <w:rPr>
          <w:rStyle w:val="Emphasis"/>
        </w:rPr>
        <w:t>Journal of Economic Theory, 27</w:t>
      </w:r>
      <w:r>
        <w:rPr/>
        <w:t>(2), 253-279.</w:t>
      </w:r>
    </w:p>
    <w:p>
      <w:pPr>
        <w:pStyle w:val="TextBody"/>
        <w:bidi w:val="0"/>
        <w:spacing w:before="0" w:after="283"/>
        <w:jc w:val="start"/>
        <w:rPr/>
      </w:pPr>
      <w:r>
        <w:rPr/>
        <w:t xml:space="preserve">Leonardi, P. M. (2014). Social media, knowledge sharing, and innovation: Toward a theory of communication visibility. </w:t>
      </w:r>
      <w:r>
        <w:rPr>
          <w:rStyle w:val="Emphasis"/>
        </w:rPr>
        <w:t>Information Systems Research, 25</w:t>
      </w:r>
      <w:r>
        <w:rPr/>
        <w:t>(4), 796-816.</w:t>
      </w:r>
    </w:p>
    <w:p>
      <w:pPr>
        <w:pStyle w:val="TextBody"/>
        <w:bidi w:val="0"/>
        <w:spacing w:before="0" w:after="283"/>
        <w:jc w:val="start"/>
        <w:rPr/>
      </w:pPr>
      <w:r>
        <w:rPr/>
        <w:t xml:space="preserve">Mauss, M. (1990). </w:t>
      </w:r>
      <w:r>
        <w:rPr>
          <w:rStyle w:val="Emphasis"/>
        </w:rPr>
        <w:t>The gift: The form and reason for exchange in archaic societies</w:t>
      </w:r>
      <w:r>
        <w:rPr/>
        <w:t>. Routledge.</w:t>
      </w:r>
    </w:p>
    <w:p>
      <w:pPr>
        <w:pStyle w:val="TextBody"/>
        <w:bidi w:val="0"/>
        <w:spacing w:before="0" w:after="283"/>
        <w:jc w:val="start"/>
        <w:rPr/>
      </w:pPr>
      <w:r>
        <w:rPr/>
        <w:t xml:space="preserve">Mazmanian, M., Orlikowski, W. J., &amp; Yates, J. (2013). The autonomy paradox: The implications of mobile email devices for knowledge professionals. </w:t>
      </w:r>
      <w:r>
        <w:rPr>
          <w:rStyle w:val="Emphasis"/>
        </w:rPr>
        <w:t>Organization Science, 24</w:t>
      </w:r>
      <w:r>
        <w:rPr/>
        <w:t>(5), 1337-1357.</w:t>
      </w:r>
    </w:p>
    <w:p>
      <w:pPr>
        <w:pStyle w:val="TextBody"/>
        <w:bidi w:val="0"/>
        <w:spacing w:before="0" w:after="283"/>
        <w:jc w:val="start"/>
        <w:rPr/>
      </w:pPr>
      <w:r>
        <w:rPr/>
        <w:t xml:space="preserve">Spence, M. (1973). Job market signaling. </w:t>
      </w:r>
      <w:r>
        <w:rPr>
          <w:rStyle w:val="Emphasis"/>
        </w:rPr>
        <w:t>Quarterly Journal of Economics, 87</w:t>
      </w:r>
      <w:r>
        <w:rPr/>
        <w:t>(3), 355-374.</w:t>
      </w:r>
    </w:p>
    <w:p>
      <w:pPr>
        <w:pStyle w:val="TextBody"/>
        <w:bidi w:val="0"/>
        <w:spacing w:before="0" w:after="283"/>
        <w:jc w:val="start"/>
        <w:rPr/>
      </w:pPr>
      <w:r>
        <w:rPr/>
        <w:t xml:space="preserve">Tidwell, L. C., &amp; Walther, J. B. (2002). Computer-mediated communication effects on disclosure, impressions, and interpersonal evaluations: Getting to know one another a bit at a time. </w:t>
      </w:r>
      <w:r>
        <w:rPr>
          <w:rStyle w:val="Emphasis"/>
        </w:rPr>
        <w:t>Human Communication Research, 28</w:t>
      </w:r>
      <w:r>
        <w:rPr/>
        <w:t>(3), 317-348.</w:t>
      </w:r>
    </w:p>
    <w:p>
      <w:pPr>
        <w:pStyle w:val="TextBody"/>
        <w:bidi w:val="0"/>
        <w:spacing w:before="0" w:after="283"/>
        <w:jc w:val="start"/>
        <w:rPr/>
      </w:pPr>
      <w:r>
        <w:rPr/>
        <w:t xml:space="preserve">Walther, J. B. (1992). Interpersonal effects in computer-mediated interaction: A relational perspective. </w:t>
      </w:r>
      <w:r>
        <w:rPr>
          <w:rStyle w:val="Emphasis"/>
        </w:rPr>
        <w:t>Communication Research, 19</w:t>
      </w:r>
      <w:r>
        <w:rPr/>
        <w:t>(1), 52-90.</w:t>
      </w:r>
    </w:p>
    <w:p>
      <w:pPr>
        <w:pStyle w:val="TextBody"/>
        <w:bidi w:val="0"/>
        <w:spacing w:before="0" w:after="283"/>
        <w:jc w:val="start"/>
        <w:rPr/>
      </w:pPr>
      <w:r>
        <w:rPr/>
        <w:t xml:space="preserve">Walther, J. B. (1996). Computer-mediated communication: Impersonal, interpersonal, and hyperpersonal interaction. </w:t>
      </w:r>
      <w:r>
        <w:rPr>
          <w:rStyle w:val="Emphasis"/>
        </w:rPr>
        <w:t>Communication Research, 23</w:t>
      </w:r>
      <w:r>
        <w:rPr/>
        <w:t>(1), 3-43.</w:t>
      </w:r>
    </w:p>
    <w:p>
      <w:pPr>
        <w:pStyle w:val="TextBody"/>
        <w:bidi w:val="0"/>
        <w:spacing w:before="0" w:after="283"/>
        <w:jc w:val="start"/>
        <w:rPr/>
      </w:pPr>
      <w:r>
        <w:rPr/>
        <w:t xml:space="preserve">Walther, J. B., &amp; Tidwell, L. C. (1995). Nonverbal cues in computer-mediated communication, and the effect of chronemics on relational communication. </w:t>
      </w:r>
      <w:r>
        <w:rPr>
          <w:rStyle w:val="Emphasis"/>
        </w:rPr>
        <w:t>Journal of Organizational Computing, 5</w:t>
      </w:r>
      <w:r>
        <w:rPr/>
        <w:t>(4), 355-378.</w:t>
      </w:r>
    </w:p>
    <w:p>
      <w:pPr>
        <w:pStyle w:val="TextBody"/>
        <w:bidi w:val="0"/>
        <w:spacing w:before="0" w:after="283"/>
        <w:jc w:val="start"/>
        <w:rPr/>
      </w:pPr>
      <w:r>
        <w:rPr/>
        <w:t xml:space="preserve">Ziano, I., &amp; Wang, B. (2021). Does response delay influence how an email sender is perceived? </w:t>
      </w:r>
      <w:r>
        <w:rPr>
          <w:rStyle w:val="Emphasis"/>
        </w:rPr>
        <w:t>Journal of Computer-Mediated Communication, 26</w:t>
      </w:r>
      <w:r>
        <w:rPr/>
        <w:t>(6), 395-409.</w:t>
      </w:r>
    </w:p>
    <w:sectPr>
      <w:type w:val="nextPage"/>
      <w:pgSz w:w="11906" w:h="16838"/>
      <w:pgMar w:left="1134" w:right="567" w:header="0" w:top="567" w:footer="0" w:bottom="567"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altName w:val="Times New Roman"/>
    <w:charset w:val="01" w:characterSet="utf-8"/>
    <w:family w:val="auto"/>
    <w:pitch w:val="default"/>
  </w:font>
  <w:font w:name="Liberation Sans Unicode MS">
    <w:charset w:val="01" w:characterSet="utf-8"/>
    <w:family w:val="auto"/>
    <w:pitch w:val="variable"/>
  </w:font>
  <w:font w:name="Courier New">
    <w:altName w:val="monospace"/>
    <w:charset w:val="01" w:characterSet="utf-8"/>
    <w:family w:val="auto"/>
    <w:pitch w:val="default"/>
  </w:font>
  <w:font w:name="Liberation Sans">
    <w:altName w:val="Arial"/>
    <w:charset w:val="01" w:characterSet="utf-8"/>
    <w:family w:val="swiss"/>
    <w:pitch w:val="variable"/>
  </w:font>
  <w:font w:name="Arial">
    <w:altName w:val="sans-serif"/>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2">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12"/>
    </w:pPr>
    <w:rPr>
      <w:rFonts w:ascii="Georgia;Times New Roman;serif" w:hAnsi="Georgia;Times New Roman;serif" w:eastAsia="Georgia;Times New Roman;serif" w:cs="Georgia;Times New Roman;serif"/>
      <w:color w:val="auto"/>
      <w:sz w:val="24"/>
      <w:szCs w:val="24"/>
      <w:lang w:val="en-US" w:eastAsia="zh-CN" w:bidi="hi-IN"/>
    </w:rPr>
  </w:style>
  <w:style w:type="paragraph" w:styleId="Heading1">
    <w:name w:val="Heading 1"/>
    <w:basedOn w:val="Heading"/>
    <w:next w:val="TextBody"/>
    <w:qFormat/>
    <w:pPr/>
    <w:rPr>
      <w:rFonts w:ascii="Liberation Sans Unicode MS" w:hAnsi="Liberation Sans Unicode MS"/>
      <w:b/>
      <w:bCs/>
      <w:sz w:val="48"/>
      <w:szCs w:val="44"/>
    </w:rPr>
  </w:style>
  <w:style w:type="paragraph" w:styleId="Heading2">
    <w:name w:val="Heading 2"/>
    <w:basedOn w:val="Heading"/>
    <w:next w:val="TextBody"/>
    <w:qFormat/>
    <w:pPr>
      <w:spacing w:lineRule="auto" w:line="292"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lineRule="auto" w:line="292"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Courier New;monospace" w:hAnsi="Courier New;monospace" w:eastAsia="Courier New;monospace" w:cs="Courier New;monospace"/>
      <w:highlight w:val="yellow"/>
    </w:rPr>
  </w:style>
  <w:style w:type="character" w:styleId="StrongEmphasis">
    <w:name w:val="Strong Emphasis"/>
    <w:qFormat/>
    <w:rPr>
      <w:b/>
      <w:bCs/>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star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Heading1papertitle">
    <w:name w:val="Heading 1.paper-title"/>
    <w:basedOn w:val="Heading1"/>
    <w:qFormat/>
    <w:pPr>
      <w:spacing w:lineRule="auto" w:line="264"/>
    </w:pPr>
    <w:rPr/>
  </w:style>
  <w:style w:type="paragraph" w:styleId="Heading2sectiontitle">
    <w:name w:val="Heading 2.section-title"/>
    <w:basedOn w:val="Heading2"/>
    <w:qFormat/>
    <w:pPr>
      <w:pBdr>
        <w:top w:val="single" w:sz="2" w:space="1" w:color="000000"/>
      </w:pBdr>
      <w:ind w:hanging="0"/>
      <w:outlineLvl w:val="9"/>
    </w:pPr>
    <w:rPr/>
  </w:style>
  <w:style w:type="paragraph" w:styleId="Heading3subsectiontitle">
    <w:name w:val="Heading 3.subsection-title"/>
    <w:basedOn w:val="Heading3"/>
    <w:qFormat/>
    <w:pPr>
      <w:ind w:hanging="0"/>
      <w:outlineLvl w:val="9"/>
    </w:pPr>
    <w:rPr/>
  </w:style>
  <w:style w:type="paragraph" w:styleId="TableHeading">
    <w:name w:val="Table Heading"/>
    <w:basedOn w:val="TableContents"/>
    <w:qFormat/>
    <w:pPr>
      <w:suppressLineNumbers/>
      <w:shd w:fill="EFE6D7"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data1/wzm/shit/vibe-shitting/paper/figures/theory_framework_map.svg" TargetMode="External"/><Relationship Id="rId3" Type="http://schemas.openxmlformats.org/officeDocument/2006/relationships/image" Target="file:///data1/wzm/shit/vibe-shitting/paper/figures/latency_diligence_curve.svg" TargetMode="External"/><Relationship Id="rId4" Type="http://schemas.openxmlformats.org/officeDocument/2006/relationships/image" Target="file:///data1/wzm/shit/vibe-shitting/paper/figures/hierarchy_window_chart.svg" TargetMode="External"/><Relationship Id="rId5" Type="http://schemas.openxmlformats.org/officeDocument/2006/relationships/image" Target="file:///data1/wzm/shit/vibe-shitting/paper/figures/first_responder_discount.svg" TargetMode="External"/><Relationship Id="rId6" Type="http://schemas.openxmlformats.org/officeDocument/2006/relationships/image" Target="file:///data1/wzm/shit/vibe-shitting/paper/figures/role_species_windows.svg" TargetMode="External"/><Relationship Id="rId7" Type="http://schemas.openxmlformats.org/officeDocument/2006/relationships/image" Target="file:///data1/wzm/shit/vibe-shitting/paper/figures/publication_burden_u_curve.svg" TargetMode="External"/><Relationship Id="rId8" Type="http://schemas.openxmlformats.org/officeDocument/2006/relationships/image" Target="file:///data1/wzm/shit/vibe-shitting/paper/figures/role_obligation_matrix.svg" TargetMode="External"/><Relationship Id="rId9" Type="http://schemas.openxmlformats.org/officeDocument/2006/relationships/image" Target="file:///data1/wzm/shit/vibe-shitting/paper/figures/red_envelope_shock.svg"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Read, Seen, Ignored: A Signaling-Game Analysis of Reply Latency in Advisor Group Chats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