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Title"/>
      </w:pPr>
      <w:r>
        <w:t/>
      </w:r>
      <w:r>
        <w:t xml:space="preserve"/>
      </w:r>
      <w:r>
        <w:t xml:space="preserve">Table 1</w:t>
      </w:r>
    </w:p>
    <w:p>
      <w:r>
        <w:t/>
      </w:r>
      <w:r>
        <w:rPr>
          <w:b w:val="true"/>
        </w:rPr>
        <w:t xml:space="preserve">Momentum Portfolio Performance and Five-Factor Alpha Tests</w:t>
      </w:r>
    </w:p>
    <w:p>
      <w:r>
        <w:t/>
      </w:r>
      <w:r>
        <w:rPr>
          <w:i w:val="true"/>
        </w:rPr>
        <w:t xml:space="preserve">Panel A: Average Excess Returns (Momentum Existence Test)</w:t>
      </w:r>
    </w:p>
    <w:tbl>
      <w:tblPr>
        <w:tblStyle w:val="TableGrid"/>
        <w:jc w:val="center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j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k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ew_mean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ew_tstat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ew_sharpe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vw_mean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vw_tstat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vw_sharpe</w:t>
            </w:r>
          </w:p>
        </w:tc>
      </w:tr>
      <w:tr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0.007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2.22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0.68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0.008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1.98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0.61</w:t>
            </w:r>
          </w:p>
        </w:tc>
      </w:tr>
      <w:tr>
        <w:tc>
          <w:tcPr>
            <w:tcW w:w="117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1.89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0.58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1.38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0.42</w:t>
            </w:r>
          </w:p>
        </w:tc>
      </w:tr>
      <w:tr>
        <w:tc>
          <w:tcPr>
            <w:tcW w:w="117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0.006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1.46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0.45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0.008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1.44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0.45</w:t>
            </w:r>
          </w:p>
        </w:tc>
      </w:tr>
      <w:tr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0.95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0.30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0.004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0.83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0.26</w:t>
            </w:r>
          </w:p>
        </w:tc>
      </w:tr>
    </w:tbl>
    <w:p>
      <w:r>
        <w:t/>
      </w:r>
    </w:p>
    <w:p>
      <w:r>
        <w:t/>
      </w:r>
      <w:r>
        <w:rPr>
          <w:i w:val="true"/>
        </w:rPr>
        <w:t xml:space="preserve">Panel B: Five-Factor Alpha (Cannot Fully Explain Momentum)</w:t>
      </w:r>
    </w:p>
    <w:tbl>
      <w:tblPr>
        <w:tblStyle w:val="TableGrid"/>
        <w:jc w:val="center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j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k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ew_alpha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ew_tstat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ew_r2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vw_alpha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vw_tstat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vw_r2</w:t>
            </w:r>
          </w:p>
        </w:tc>
      </w:tr>
      <w:tr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0.008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2.80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0.148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0.009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2.31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0.136</w:t>
            </w:r>
          </w:p>
        </w:tc>
      </w:tr>
      <w:tr>
        <w:tc>
          <w:tcPr>
            <w:tcW w:w="117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0.006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2.76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0.216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0.006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2.04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0.214</w:t>
            </w:r>
          </w:p>
        </w:tc>
      </w:tr>
      <w:tr>
        <w:tc>
          <w:tcPr>
            <w:tcW w:w="1170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0.007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2.38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0.237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0.009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2.12</w:t>
            </w:r>
          </w:p>
        </w:tc>
        <w:tc>
          <w:tcPr>
            <w:tcW w:w="1170" w:type="dxa"/>
          </w:tcPr>
          <w:p>
            <w:pPr>
              <w:spacing w:after="0"/>
            </w:pPr>
            <w:r>
              <w:t xml:space="preserve">0.262</w:t>
            </w:r>
          </w:p>
        </w:tc>
      </w:tr>
      <w:tr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1.83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0.277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0.005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1.20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0.284</w:t>
            </w:r>
          </w:p>
        </w:tc>
      </w:tr>
    </w:tbl>
    <w:p>
      <w:r>
        <w:t/>
      </w:r>
    </w:p>
    <w:p>
      <w:r>
        <w:t/>
      </w:r>
      <w:r>
        <w:rPr>
          <w:i w:val="true"/>
        </w:rPr>
        <w:t xml:space="preserve">Note: J = formation period (months); K = holding period (months); EW = equal-weighted, VW = value-weighted. mean = average monthly WML return; tstat = Newey-West adjusted t-statistic; sharpe = annualized Sharpe ratio; alpha = five-factor model intercept (monthly); r2 = regression R-squared.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