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6565"/>
        <w:tblGridChange w:id="0">
          <w:tblGrid>
            <w:gridCol w:w="2190"/>
            <w:gridCol w:w="6565"/>
          </w:tblGrid>
        </w:tblGridChange>
      </w:tblGrid>
      <w:tr>
        <w:trPr>
          <w:cantSplit w:val="0"/>
          <w:trHeight w:val="5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TEEZIMIN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No.: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Duties Performed / Task Setting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6/7/2026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After reviewing the project and identifying some gaps, I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filled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 them in, reviewed them again, and then put them into practice. I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identified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 the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goals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for this week and studied some new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trying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highlight w:val="white"/>
                <w:rtl w:val="0"/>
              </w:rPr>
              <w:t xml:space="preserve"> to put them into practice.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7/7/2026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started trying to create a static profile page (HTML/CSS/JS) and began researching database setup.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8/7/2026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completed the upload, view, and delete functions for the database. (See the week2-html file.)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learned more about the detailed functions of web scraping programs, obtained most of the course materials from the school website, and started creating a new FIA showcase webpage.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10/7/2026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296" w:top="1890" w:left="1872" w:right="1440" w:header="864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DL6izMc0/UdyJti8uTujrbG4Q==">CgMxLjA4AHIhMWl3UFJCWlhIZG5ZM095VkhxU2dhNHRzQno1U3Jmd1R2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