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John Zimmerman</w:t>
      </w:r>
    </w:p>
    <w:p>
      <w:pPr>
        <w:pStyle w:val="Normal"/>
        <w:rPr/>
      </w:pPr>
      <w:r>
        <w:rPr/>
        <w:t>7.2 Gender Thought Exercise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</w:r>
    </w:p>
    <w:p>
      <w:pPr>
        <w:pStyle w:val="Normal"/>
        <w:ind w:hanging="0"/>
        <w:rPr/>
      </w:pPr>
      <w:r>
        <w:rPr>
          <w:rFonts w:eastAsia="Times New Roman" w:cs="Times New Roman"/>
          <w:sz w:val="24"/>
          <w:szCs w:val="24"/>
          <w:lang w:val="en-US"/>
        </w:rPr>
        <w:t>When it comes to whether databases should be designed with more than two genders in mind, I would say it depends on the system, but in modern systems it is probably best practice. Even in scenarios where a database models real-world constraints, it may still be smart to plan for multiple genders. This is because gender is generally understood as a question of identity rather than strictly biological sex. For instance, if you were tasked with modeling a database for an all-boys school, someone might think it is unnecessary to account for multiple genders. However, the modern understanding is that a biological male could still identify with a variety of genders.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  <w:t>This was a pretty natural conclusion for me, as I’m fairly familiar with the discourse on gender identity. Though this is the first time I have considered the consequences of database design when it comes to gender.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  <w:t>From a practical perspective, it makes the most sense to design with accuracy and flexibility in mind, and I think that gets you 80% of the way there. The rest is working on avoiding bias and hardcoded rigidity. Sometimes having binary categories is necessary, but binary categories aren’t inherently anti-inclusive. The point is to be unbiased and accurate, and the inclusion will follow. But maybe for people who aren’t as practiced, it may not be as easy.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  <w:t xml:space="preserve">I think if you aren’t in tune with inclusive thinking and it isn’t something that comes naturally, you may have to be proactive when you are designing your databases. I don’t think you really lose anything by designing with inclusivity in mind, especially in an era where we have so much technical debt built up with hardware and memory. </w:t>
      </w:r>
    </w:p>
    <w:p>
      <w:pPr>
        <w:pStyle w:val="Normal"/>
        <w:ind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</w:r>
    </w:p>
    <w:p>
      <w:pPr>
        <w:pStyle w:val="Normal"/>
        <w:spacing w:before="0" w:after="160"/>
        <w:ind w:hang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  <w:t>https://civic.mit.edu/index.html%3Fp=1165.html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Times New Roman" w:hAnsi="Times New Roman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LibreOffice/25.8.3.2$Linux_X86_64 LibreOffice_project/580$Build-2</Application>
  <AppVersion>15.0000</AppVersion>
  <Pages>1</Pages>
  <Words>291</Words>
  <Characters>1481</Characters>
  <CharactersWithSpaces>1766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2026-03-10T09:21:36Z</dcterms:created>
  <dc:creator>John Zimmerman</dc:creator>
  <dc:description/>
  <dc:language>en-US</dc:language>
  <cp:lastModifiedBy/>
  <dcterms:modified xsi:type="dcterms:W3CDTF">2026-03-10T05:09:17Z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