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Georgia" w:hAnsi="Georgia" w:cs="Arial"/>
        </w:rPr>
      </w:pPr>
      <w:r>
        <w:rPr>
          <w:rFonts w:cs="Arial" w:ascii="Georgia" w:hAnsi="Georgia"/>
          <w:b/>
          <w:bCs/>
        </w:rPr>
        <w:t>Student’s Name</w:t>
      </w:r>
      <w:r>
        <w:rPr>
          <w:rFonts w:cs="Arial" w:ascii="Georgia" w:hAnsi="Georgia"/>
        </w:rPr>
        <w:t xml:space="preserve">: </w:t>
      </w:r>
      <w:r>
        <w:rPr>
          <w:rFonts w:cs="Arial" w:ascii="Georgia" w:hAnsi="Georgia"/>
        </w:rPr>
        <w:t>John Zimmerman</w:t>
      </w:r>
    </w:p>
    <w:p>
      <w:pPr>
        <w:pStyle w:val="Normal"/>
        <w:rPr>
          <w:rFonts w:ascii="Georgia" w:hAnsi="Georgia" w:cs="Arial"/>
          <w:b/>
          <w:bCs/>
        </w:rPr>
      </w:pPr>
      <w:r>
        <w:rPr>
          <w:rFonts w:cs="Arial" w:ascii="Georgia" w:hAnsi="Georgia"/>
          <w:b/>
          <w:bCs/>
        </w:rPr>
      </w:r>
    </w:p>
    <w:p>
      <w:pPr>
        <w:pStyle w:val="Normal"/>
        <w:rPr>
          <w:rFonts w:ascii="Georgia" w:hAnsi="Georgia" w:cs="Arial"/>
        </w:rPr>
      </w:pPr>
      <w:r>
        <w:rPr>
          <w:rFonts w:cs="Arial" w:ascii="Georgia" w:hAnsi="Georgia"/>
          <w:b/>
          <w:bCs/>
        </w:rPr>
        <w:t>Headline</w:t>
      </w:r>
      <w:r>
        <w:rPr>
          <w:rFonts w:cs="Arial" w:ascii="Georgia" w:hAnsi="Georgia"/>
        </w:rPr>
        <w:t>: Recent Lawsuits Against AI Companies: Beyond Copyright Infringement</w:t>
      </w:r>
    </w:p>
    <w:p>
      <w:pPr>
        <w:pStyle w:val="Normal"/>
        <w:rPr>
          <w:rFonts w:ascii="Georgia" w:hAnsi="Georgia" w:cs="Arial"/>
        </w:rPr>
      </w:pPr>
      <w:r>
        <w:rPr>
          <w:rFonts w:cs="Arial" w:ascii="Georgia" w:hAnsi="Georgia"/>
          <w:b/>
          <w:bCs/>
        </w:rPr>
        <w:t>Date</w:t>
      </w:r>
      <w:r>
        <w:rPr>
          <w:rFonts w:cs="Arial" w:ascii="Georgia" w:hAnsi="Georgia"/>
        </w:rPr>
        <w:t xml:space="preserve">: </w:t>
      </w:r>
      <w:r>
        <w:rPr>
          <w:rStyle w:val="Strong"/>
          <w:b w:val="false"/>
          <w:bCs w:val="false"/>
        </w:rPr>
        <w:t>Published</w:t>
      </w:r>
      <w:r>
        <w:rPr/>
        <w:t xml:space="preserve"> May 19, 2025</w:t>
      </w:r>
    </w:p>
    <w:p>
      <w:pPr>
        <w:pStyle w:val="Normal"/>
        <w:rPr>
          <w:rFonts w:ascii="Georgia" w:hAnsi="Georgia" w:eastAsia="Times New Roman" w:cs="Times New Roman"/>
          <w:sz w:val="22"/>
        </w:rPr>
      </w:pPr>
      <w:r>
        <w:rPr>
          <w:rFonts w:cs="Arial" w:ascii="Georgia" w:hAnsi="Georgia"/>
          <w:b/>
          <w:bCs/>
        </w:rPr>
        <w:t>URL</w:t>
      </w:r>
      <w:r>
        <w:rPr>
          <w:rFonts w:cs="Arial" w:ascii="Georgia" w:hAnsi="Georgia"/>
        </w:rPr>
        <w:t xml:space="preserve">: </w:t>
      </w:r>
      <w:hyperlink r:id="rId2">
        <w:r>
          <w:rPr>
            <w:rStyle w:val="Hyperlink"/>
            <w:rFonts w:eastAsia="Times New Roman" w:cs="Times New Roman" w:ascii="Georgia" w:hAnsi="Georgia"/>
            <w:sz w:val="22"/>
          </w:rPr>
          <w:t>https://www.traverselegal.com/blog/ai-litigation-beyond-copyright/</w:t>
        </w:r>
      </w:hyperlink>
    </w:p>
    <w:p>
      <w:pPr>
        <w:pStyle w:val="Normal"/>
        <w:rPr>
          <w:rFonts w:ascii="Georgia" w:hAnsi="Georgia" w:cs="Arial"/>
        </w:rPr>
      </w:pPr>
      <w:r>
        <w:rPr>
          <w:rFonts w:cs="Arial" w:ascii="Georgia" w:hAnsi="Georgia"/>
          <w:b/>
          <w:bCs/>
        </w:rPr>
        <w:t>Word Count:</w:t>
      </w:r>
    </w:p>
    <w:p>
      <w:pPr>
        <w:pStyle w:val="Normal"/>
        <w:rPr>
          <w:rFonts w:ascii="Georgia" w:hAnsi="Georgia" w:cs="Arial"/>
        </w:rPr>
      </w:pPr>
      <w:r>
        <w:rPr>
          <w:rFonts w:cs="Arial" w:ascii="Georgia" w:hAnsi="Georgia"/>
        </w:rPr>
        <w:t xml:space="preserve"> </w:t>
      </w:r>
    </w:p>
    <w:p>
      <w:pPr>
        <w:pStyle w:val="Normal"/>
        <w:rPr>
          <w:rFonts w:ascii="Georgia" w:hAnsi="Georgia" w:cs="Arial"/>
        </w:rPr>
      </w:pPr>
      <w:r>
        <w:rPr>
          <w:rFonts w:cs="Arial" w:ascii="Georgia" w:hAnsi="Georgia"/>
        </w:rPr>
      </w:r>
    </w:p>
    <w:p>
      <w:pPr>
        <w:pStyle w:val="BodyText"/>
        <w:rPr>
          <w:color w:val="3465A4"/>
        </w:rPr>
      </w:pPr>
      <w:r>
        <w:rPr>
          <w:rStyle w:val="Strong"/>
          <w:rFonts w:cs="Arial" w:ascii="Georgia" w:hAnsi="Georgia"/>
          <w:color w:val="3465A4"/>
        </w:rPr>
        <w:t>Paragraph 1 — Setup</w:t>
      </w:r>
      <w:r>
        <w:rPr>
          <w:rFonts w:cs="Arial" w:ascii="Georgia" w:hAnsi="Georgia"/>
          <w:color w:val="3465A4"/>
        </w:rPr>
        <w:t xml:space="preserve"> Use the Traverse Legal article to establish that AI data mismanagement is a broad, actively litigated area right now with many different kinds of cases. Narrow to two specific examples the article mentions: LinkedIn and Amazon. End the paragraph signaling that while these cases look similar on the surface, they aren't.</w:t>
      </w:r>
    </w:p>
    <w:p>
      <w:pPr>
        <w:pStyle w:val="BodyText"/>
        <w:rPr>
          <w:rFonts w:ascii="Georgia" w:hAnsi="Georgia" w:cs="Arial"/>
          <w:color w:val="auto"/>
        </w:rPr>
      </w:pPr>
      <w:r>
        <w:rPr>
          <w:rFonts w:cs="Arial" w:ascii="Georgia" w:hAnsi="Georgia"/>
          <w:color w:val="auto"/>
        </w:rPr>
        <w:tab/>
        <w:t xml:space="preserve">In a </w:t>
      </w:r>
      <w:r>
        <w:rPr>
          <w:rFonts w:cs="Arial" w:ascii="Georgia" w:hAnsi="Georgia"/>
          <w:color w:val="auto"/>
        </w:rPr>
        <w:t>2025</w:t>
      </w:r>
      <w:r>
        <w:rPr>
          <w:rFonts w:cs="Arial" w:ascii="Georgia" w:hAnsi="Georgia"/>
          <w:color w:val="auto"/>
        </w:rPr>
        <w:t xml:space="preserve"> article, </w:t>
      </w:r>
      <w:r>
        <w:rPr>
          <w:rFonts w:cs="Arial" w:ascii="Georgia" w:hAnsi="Georgia"/>
          <w:color w:val="auto"/>
        </w:rPr>
        <w:t xml:space="preserve">author Enrico Schaefer compiles a list of </w:t>
      </w:r>
      <w:r>
        <w:rPr>
          <w:rFonts w:cs="Arial" w:ascii="Georgia" w:hAnsi="Georgia"/>
          <w:color w:val="auto"/>
        </w:rPr>
        <w:t xml:space="preserve">generative AI </w:t>
      </w:r>
      <w:r>
        <w:rPr>
          <w:rFonts w:cs="Arial" w:ascii="Georgia" w:hAnsi="Georgia"/>
          <w:color w:val="auto"/>
        </w:rPr>
        <w:t xml:space="preserve">data management issues that are front and center in the public </w:t>
      </w:r>
      <w:r>
        <w:rPr>
          <w:rFonts w:cs="Arial" w:ascii="Georgia" w:hAnsi="Georgia"/>
          <w:color w:val="auto"/>
        </w:rPr>
        <w:t>zeitgeist.</w:t>
      </w:r>
    </w:p>
    <w:p>
      <w:pPr>
        <w:pStyle w:val="BodyText"/>
        <w:rPr>
          <w:color w:val="3465A4"/>
        </w:rPr>
      </w:pPr>
      <w:r>
        <w:rPr>
          <w:rFonts w:cs="Arial" w:ascii="Georgia" w:hAnsi="Georgia"/>
          <w:color w:val="3465A4"/>
        </w:rPr>
      </w:r>
    </w:p>
    <w:p>
      <w:pPr>
        <w:pStyle w:val="BodyText"/>
        <w:spacing w:lineRule="auto" w:line="240"/>
        <w:rPr>
          <w:rFonts w:ascii="Georgia" w:hAnsi="Georgia" w:cs="Arial"/>
          <w:color w:val="3465A4"/>
        </w:rPr>
      </w:pPr>
      <w:r>
        <w:rPr>
          <w:rStyle w:val="Strong"/>
          <w:rFonts w:cs="Arial" w:ascii="Georgia" w:hAnsi="Georgia"/>
          <w:color w:val="3465A4"/>
        </w:rPr>
        <w:t>Paragraph 2 — The distinction</w:t>
      </w:r>
      <w:r>
        <w:rPr>
          <w:rFonts w:cs="Arial" w:ascii="Georgia" w:hAnsi="Georgia"/>
          <w:color w:val="3465A4"/>
        </w:rPr>
        <w:t xml:space="preserve"> This is the core argument. Break down why the two cases are different. LinkedIn updating its terms of service and giving users an opt-out sits within a legally and practically defensible space — platforms using user data to improve their product is standard and expected. Amazon scanning facial geometry from personal photos and commercially licensing it through Rekognition to third parties crosses a fundamentally different line — biometric data has higher legal protections for a reason, and profiting from it without consent is explicitly what laws like BIPA exist to prevent.</w:t>
      </w:r>
    </w:p>
    <w:p>
      <w:pPr>
        <w:pStyle w:val="BodyText"/>
        <w:spacing w:lineRule="auto" w:line="240"/>
        <w:rPr>
          <w:rFonts w:ascii="Georgia" w:hAnsi="Georgia" w:cs="Arial"/>
          <w:color w:val="3465A4"/>
        </w:rPr>
      </w:pPr>
      <w:r>
        <w:rPr>
          <w:rFonts w:cs="Arial" w:ascii="Georgia" w:hAnsi="Georgia"/>
          <w:color w:val="3465A4"/>
        </w:rPr>
        <w:tab/>
      </w:r>
    </w:p>
    <w:p>
      <w:pPr>
        <w:pStyle w:val="BodyText"/>
        <w:spacing w:lineRule="auto" w:line="240"/>
        <w:rPr>
          <w:rFonts w:ascii="Georgia" w:hAnsi="Georgia" w:cs="Arial"/>
          <w:color w:val="3465A4"/>
        </w:rPr>
      </w:pPr>
      <w:r>
        <w:rPr>
          <w:rFonts w:cs="Arial" w:ascii="Georgia" w:hAnsi="Georgia"/>
          <w:color w:val="3465A4"/>
        </w:rPr>
      </w:r>
    </w:p>
    <w:p>
      <w:pPr>
        <w:pStyle w:val="BodyText"/>
        <w:spacing w:lineRule="auto" w:line="240"/>
        <w:rPr>
          <w:rFonts w:ascii="Georgia" w:hAnsi="Georgia" w:cs="Arial"/>
          <w:color w:val="3465A4"/>
        </w:rPr>
      </w:pPr>
      <w:r>
        <w:rPr>
          <w:rFonts w:cs="Arial" w:ascii="Georgia" w:hAnsi="Georgia"/>
          <w:color w:val="3465A4"/>
        </w:rPr>
      </w:r>
    </w:p>
    <w:p>
      <w:pPr>
        <w:pStyle w:val="BodyText"/>
        <w:spacing w:lineRule="auto" w:line="240"/>
        <w:rPr>
          <w:rFonts w:ascii="Georgia" w:hAnsi="Georgia" w:cs="Arial"/>
          <w:color w:val="3465A4"/>
        </w:rPr>
      </w:pPr>
      <w:r>
        <w:rPr>
          <w:rStyle w:val="Strong"/>
          <w:rFonts w:cs="Arial" w:ascii="Georgia" w:hAnsi="Georgia"/>
          <w:color w:val="3465A4"/>
        </w:rPr>
        <w:t>Paragraph 3 — Why the conflation matters</w:t>
      </w:r>
      <w:r>
        <w:rPr>
          <w:rFonts w:cs="Arial" w:ascii="Georgia" w:hAnsi="Georgia"/>
          <w:color w:val="3465A4"/>
        </w:rPr>
        <w:t xml:space="preserve"> The public and media tend to treat all "AI using my data" stories as morally equivalent. That's the problem. When everything gets the same level of outrage, cases that genuinely warrant serious regulatory attention — like Amazon's — get diluted. As AI data regulation is still being built, precise thinking matters. Sloppy equivalence leads to sloppy policy.</w:t>
      </w:r>
    </w:p>
    <w:p>
      <w:pPr>
        <w:pStyle w:val="Normal"/>
        <w:rPr>
          <w:color w:val="3465A4"/>
        </w:rPr>
      </w:pPr>
      <w:r>
        <w:rPr>
          <w:rFonts w:cs="Arial" w:ascii="Georgia" w:hAnsi="Georgia"/>
          <w:color w:val="3465A4"/>
        </w:rPr>
      </w:r>
    </w:p>
    <w:p>
      <w:pPr>
        <w:pStyle w:val="Normal"/>
        <w:rPr>
          <w:rFonts w:ascii="Georgia" w:hAnsi="Georgia" w:cs="Arial"/>
        </w:rPr>
      </w:pPr>
      <w:r>
        <w:rPr>
          <w:rFonts w:cs="Arial" w:ascii="Georgia" w:hAnsi="Georgia"/>
        </w:rPr>
      </w:r>
    </w:p>
    <w:p>
      <w:pPr>
        <w:pStyle w:val="Normal"/>
        <w:rPr>
          <w:rFonts w:ascii="Georgia" w:hAnsi="Georgia" w:cs="Arial"/>
        </w:rPr>
      </w:pPr>
      <w:r>
        <w:rPr>
          <w:rFonts w:cs="Arial" w:ascii="Georgia" w:hAnsi="Georgia"/>
        </w:rPr>
      </w:r>
    </w:p>
    <w:p>
      <w:pPr>
        <w:pStyle w:val="Normal"/>
        <w:rPr>
          <w:rFonts w:ascii="Georgia" w:hAnsi="Georgia" w:cs="Arial"/>
          <w:b/>
          <w:bCs/>
          <w:u w:val="single"/>
        </w:rPr>
      </w:pPr>
      <w:r>
        <w:rPr>
          <w:rFonts w:cs="Arial" w:ascii="Georgia" w:hAnsi="Georgia"/>
          <w:b/>
          <w:bCs/>
          <w:u w:val="single"/>
        </w:rPr>
        <w:t>References</w:t>
      </w:r>
    </w:p>
    <w:p>
      <w:pPr>
        <w:pStyle w:val="Normal"/>
        <w:rPr>
          <w:rFonts w:ascii="Georgia" w:hAnsi="Georgia" w:cs="Arial"/>
        </w:rPr>
      </w:pPr>
      <w:r>
        <w:rPr>
          <w:rFonts w:cs="Arial" w:ascii="Georgia" w:hAnsi="Georgia"/>
        </w:rPr>
      </w:r>
    </w:p>
    <w:p>
      <w:pPr>
        <w:pStyle w:val="ListParagraph"/>
        <w:numPr>
          <w:ilvl w:val="0"/>
          <w:numId w:val="1"/>
        </w:numPr>
        <w:rPr/>
      </w:pPr>
      <w:r>
        <w:rPr/>
        <w:t xml:space="preserve">Linkedin: </w:t>
      </w:r>
      <w:hyperlink r:id="rId3">
        <w:r>
          <w:rPr>
            <w:rStyle w:val="Hyperlink"/>
          </w:rPr>
          <w:t>https://privacy.blog.fordham.edu/linkedin-accused-of-using-private-messages-to-train-ai-models/</w:t>
        </w:r>
      </w:hyperlink>
    </w:p>
    <w:p>
      <w:pPr>
        <w:pStyle w:val="ListParagraph"/>
        <w:numPr>
          <w:ilvl w:val="0"/>
          <w:numId w:val="1"/>
        </w:numPr>
        <w:rPr/>
      </w:pPr>
      <w:r>
        <w:rPr/>
        <w:t xml:space="preserve">Amazon: </w:t>
      </w:r>
      <w:hyperlink r:id="rId4">
        <w:r>
          <w:rPr>
            <w:rStyle w:val="Hyperlink"/>
          </w:rPr>
          <w:t>https://www.darrow.ai/resources/amazon-bipa-lawsuit</w:t>
        </w:r>
      </w:hyperlink>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0088"/>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e0088"/>
    <w:rPr>
      <w:color w:val="0000FF"/>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3e0088"/>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raverselegal.com/blog/ai-litigation-beyond-copyright/" TargetMode="External"/><Relationship Id="rId3" Type="http://schemas.openxmlformats.org/officeDocument/2006/relationships/hyperlink" Target="https://privacy.blog.fordham.edu/linkedin-accused-of-using-private-messages-to-train-ai-models/" TargetMode="External"/><Relationship Id="rId4" Type="http://schemas.openxmlformats.org/officeDocument/2006/relationships/hyperlink" Target="https://www.darrow.ai/resources/amazon-bipa-lawsuit"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LibreOffice/26.2.2.2$Linux_X86_64 LibreOffice_project/620$Build-2</Application>
  <AppVersion>15.0000</AppVersion>
  <Pages>1</Pages>
  <Words>262</Words>
  <Characters>1637</Characters>
  <CharactersWithSpaces>1895</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2022-08-15T21:42:00Z</dcterms:created>
  <dc:creator>Bryant, Bradley M</dc:creator>
  <dc:description/>
  <dc:language>en-US</dc:language>
  <cp:lastModifiedBy/>
  <dcterms:modified xsi:type="dcterms:W3CDTF">2026-04-30T06:08:00Z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