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3"/>
        <w:pBdr/>
        <w:spacing w:after="113" w:afterAutospacing="0" w:before="0" w:line="360" w:lineRule="auto"/>
        <w:ind/>
        <w:jc w:val="left"/>
        <w:rPr>
          <w:lang w:val="de-DE"/>
          <w14:ligatures w14:val="none"/>
        </w:rPr>
      </w:pPr>
      <w:r>
        <w:rPr>
          <w:lang w:val="en-US"/>
        </w:rPr>
        <w:t xml:space="preserve">Knowledge Badge</w:t>
      </w:r>
      <w:r>
        <w:rPr>
          <w:lang w:val="de-DE"/>
        </w:rPr>
        <w:t xml:space="preserve"> “Barrierefrei lehren” (</w:t>
      </w:r>
      <w:r>
        <w:rPr>
          <w:lang w:val="de-DE"/>
        </w:rPr>
        <w:t xml:space="preserve">KB-BFL</w:t>
      </w:r>
      <w:r>
        <w:rPr>
          <w:lang w:val="de-DE"/>
        </w:rPr>
        <w:t xml:space="preserve">) – </w:t>
      </w:r>
      <w:r>
        <w:rPr>
          <w:lang w:val="de-DE"/>
        </w:rPr>
        <w:t xml:space="preserve">Protokollblatt</w:t>
      </w:r>
      <w:r>
        <w:rPr>
          <w:lang w:val="de-DE"/>
          <w14:ligatures w14:val="none"/>
        </w:rPr>
      </w:r>
      <w:r>
        <w:rPr>
          <w:lang w:val="de-DE"/>
          <w14:ligatures w14:val="none"/>
        </w:rPr>
      </w:r>
    </w:p>
    <w:p>
      <w:pPr>
        <w:pBdr/>
        <w:spacing w:line="360" w:lineRule="auto"/>
        <w:ind w:right="0" w:firstLine="0" w:left="0"/>
        <w:rPr>
          <w:highlight w:val="none"/>
          <w:lang w:val="de-DE"/>
        </w:rPr>
      </w:pPr>
      <w:r>
        <w:rPr>
          <w:lang w:val="de-DE"/>
        </w:rPr>
      </w:r>
      <w:r>
        <w:rPr>
          <w:lang w:val="de-DE"/>
        </w:rPr>
        <w:t xml:space="preserve">Prüfungsort: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Bdr/>
        <w:spacing w:line="360" w:lineRule="auto"/>
        <w:ind/>
        <w:rPr>
          <w:highlight w:val="none"/>
          <w:lang w:val="de-DE"/>
        </w:rPr>
      </w:pPr>
      <w:r>
        <w:rPr>
          <w:highlight w:val="none"/>
          <w:lang w:val="de-DE"/>
        </w:rPr>
        <w:t xml:space="preserve">Datum: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Bdr/>
        <w:spacing w:line="360" w:lineRule="auto"/>
        <w:ind/>
        <w:rPr>
          <w:highlight w:val="none"/>
          <w:lang w:val="de-DE"/>
        </w:rPr>
      </w:pPr>
      <w:r>
        <w:rPr>
          <w:highlight w:val="none"/>
          <w:lang w:val="de-DE"/>
        </w:rPr>
        <w:t xml:space="preserve">Prüfungszeit (von – bis):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Bdr/>
        <w:spacing w:line="360" w:lineRule="auto"/>
        <w:ind/>
        <w:rPr>
          <w:highlight w:val="none"/>
          <w:lang w:val="de-DE"/>
        </w:rPr>
      </w:pPr>
      <w:r>
        <w:rPr>
          <w:highlight w:val="none"/>
          <w:lang w:val="de-DE"/>
        </w:rPr>
        <w:t xml:space="preserve">Prüfungsraum: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Bdr/>
        <w:spacing w:line="360" w:lineRule="auto"/>
        <w:ind/>
        <w:rPr>
          <w:highlight w:val="none"/>
          <w:lang w:val="de-DE"/>
        </w:rPr>
      </w:pPr>
      <w:r>
        <w:rPr>
          <w:lang w:val="de-DE"/>
        </w:rPr>
        <w:t xml:space="preserve">Aufsichtsperson(en):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Style w:val="824"/>
        <w:pBdr/>
        <w:spacing w:after="51" w:afterAutospacing="0" w:before="283" w:beforeAutospacing="0" w:line="360" w:lineRule="auto"/>
        <w:ind/>
        <w:rPr>
          <w:lang w:val="de-DE"/>
        </w:rPr>
      </w:pPr>
      <w:r>
        <w:rPr>
          <w:highlight w:val="none"/>
          <w:lang w:val="de-DE"/>
        </w:rPr>
        <w:t xml:space="preserve">Ablauf</w:t>
      </w:r>
      <w:r>
        <w:rPr>
          <w:lang w:val="de-DE"/>
        </w:rPr>
        <w:t xml:space="preserve"> der Prüfung</w:t>
      </w:r>
      <w:r>
        <w:rPr>
          <w:lang w:val="de-DE"/>
        </w:rPr>
      </w:r>
      <w:r>
        <w:rPr>
          <w:lang w:val="de-DE"/>
        </w:rPr>
      </w:r>
    </w:p>
    <w:p>
      <w:pPr>
        <w:pStyle w:val="825"/>
        <w:pBdr/>
        <w:spacing w:before="113" w:beforeAutospacing="0"/>
        <w:ind/>
        <w:rPr>
          <w:b/>
          <w:bCs/>
          <w:color w:val="000000" w:themeColor="text1"/>
          <w:sz w:val="22"/>
          <w:szCs w:val="22"/>
          <w14:ligatures w14:val="none"/>
        </w:rPr>
      </w:pPr>
      <w:r>
        <w:rPr>
          <w:b/>
          <w:bCs/>
          <w:color w:val="000000" w:themeColor="text1"/>
          <w:sz w:val="22"/>
          <w:szCs w:val="22"/>
          <w:lang w:val="de-DE"/>
        </w:rPr>
        <w:t xml:space="preserve">Besondere Vorkommnisse</w:t>
      </w:r>
      <w:r>
        <w:rPr>
          <w:b/>
          <w:bCs/>
          <w:color w:val="000000" w:themeColor="text1"/>
          <w:sz w:val="22"/>
          <w:szCs w:val="22"/>
          <w:lang w:val="de-DE"/>
        </w:rPr>
        <w:t xml:space="preserve"> </w:t>
      </w:r>
      <w:r>
        <w:rPr>
          <w:lang w:val="de-DE"/>
        </w:rPr>
        <w:t xml:space="preserve">während </w:t>
      </w:r>
      <w:r>
        <w:rPr>
          <w:b/>
          <w:bCs/>
          <w:color w:val="000000" w:themeColor="text1"/>
          <w:sz w:val="22"/>
          <w:szCs w:val="22"/>
          <w:lang w:val="de-DE"/>
        </w:rPr>
        <w:t xml:space="preserve">der Prüfung</w:t>
      </w:r>
      <w:r>
        <w:rPr>
          <w:b/>
          <w:bCs/>
          <w:color w:val="000000" w:themeColor="text1"/>
          <w:sz w:val="22"/>
          <w:szCs w:val="22"/>
          <w14:ligatures w14:val="none"/>
        </w:rPr>
      </w:r>
      <w:r>
        <w:rPr>
          <w:b/>
          <w:bCs/>
          <w:color w:val="000000" w:themeColor="text1"/>
          <w:sz w:val="22"/>
          <w:szCs w:val="22"/>
          <w14:ligatures w14:val="none"/>
        </w:rPr>
      </w:r>
    </w:p>
    <w:p>
      <w:pPr>
        <w:pBdr/>
        <w:spacing w:line="360" w:lineRule="auto"/>
        <w:ind/>
        <w:rPr>
          <w:highlight w:val="none"/>
          <w:lang w:val="de-DE"/>
        </w:rPr>
      </w:pPr>
      <w:r>
        <w:rPr>
          <w:lang w:val="de-DE"/>
        </w:rPr>
        <w:t xml:space="preserve">Bitte protokollieren Sie alle besondere Vorkommnisse während der Prüfung</w:t>
      </w:r>
      <w:r>
        <w:rPr>
          <w:lang w:val="de-DE"/>
        </w:rPr>
        <w:t xml:space="preserve">, z. B.:</w:t>
      </w:r>
      <w:r>
        <w:rPr>
          <w:lang w:val="de-DE"/>
        </w:rPr>
        <w:t xml:space="preserve"> </w:t>
      </w:r>
      <w:r>
        <w:rPr>
          <w:lang w:val="de-DE"/>
        </w:rPr>
        <w:t xml:space="preserve">Technische Probleme, </w:t>
      </w:r>
      <w:r>
        <w:rPr>
          <w:lang w:val="de-DE"/>
        </w:rPr>
        <w:t xml:space="preserve">Verhalten des Prüflings (Täuschungsversuch), Unterbrechungen, Toilettengänge, etc..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Bdr/>
        <w:spacing w:line="360" w:lineRule="auto"/>
        <w:ind/>
        <w:rPr>
          <w:highlight w:val="none"/>
          <w:lang w:val="de-DE"/>
        </w:rPr>
      </w:pPr>
      <w:r>
        <w:rPr>
          <w:highlight w:val="none"/>
          <w:lang w:val="de-DE"/>
        </w:rPr>
        <w:t xml:space="preserve">Bei Täuschungsversuchen muss der Prüfling das Examen abbrechen. Die zentrale Prüfungsverwaltung wird danach die entsprechenden Maßnahmen treffen.</w:t>
      </w:r>
      <w:r>
        <w:rPr>
          <w:highlight w:val="none"/>
          <w:lang w:val="de-DE"/>
        </w:rPr>
      </w:r>
    </w:p>
    <w:tbl>
      <w:tblPr>
        <w:tblStyle w:val="697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2886"/>
        <w:gridCol w:w="6911"/>
      </w:tblGrid>
      <w:tr>
        <w:trPr>
          <w:trHeight w:val="875"/>
        </w:trPr>
        <w:tc>
          <w:tcPr>
            <w:tcBorders>
              <w:bottom w:val="single" w:color="000000" w:sz="12" w:space="0"/>
            </w:tcBorders>
            <w:tcW w:w="2886" w:type="dxa"/>
            <w:vAlign w:val="center"/>
            <w:textDirection w:val="lrTb"/>
            <w:noWrap w:val="false"/>
          </w:tcPr>
          <w:p>
            <w:pPr>
              <w:pBdr/>
              <w:spacing w:before="0" w:beforeAutospacing="0"/>
              <w:ind/>
              <w:rPr>
                <w:b/>
                <w:bCs/>
                <w:sz w:val="24"/>
                <w:szCs w:val="24"/>
                <w:lang w:val="de-DE"/>
              </w:rPr>
            </w:pPr>
            <w:r>
              <w:rPr>
                <w:b/>
                <w:bCs/>
                <w:sz w:val="24"/>
                <w:szCs w:val="24"/>
                <w:lang w:val="de-DE"/>
              </w:rPr>
              <w:t xml:space="preserve">Zeitpunkt</w:t>
            </w:r>
            <w:r>
              <w:rPr>
                <w:b/>
                <w:bCs/>
                <w:sz w:val="24"/>
                <w:szCs w:val="24"/>
                <w:lang w:val="de-DE"/>
              </w:rPr>
            </w:r>
            <w:r>
              <w:rPr>
                <w:b/>
                <w:bCs/>
                <w:sz w:val="24"/>
                <w:szCs w:val="24"/>
                <w:lang w:val="de-DE"/>
              </w:rPr>
            </w:r>
          </w:p>
        </w:tc>
        <w:tc>
          <w:tcPr>
            <w:tcBorders>
              <w:bottom w:val="single" w:color="000000" w:sz="12" w:space="0"/>
            </w:tcBorders>
            <w:tcW w:w="6911" w:type="dxa"/>
            <w:vAlign w:val="center"/>
            <w:textDirection w:val="lrTb"/>
            <w:noWrap w:val="false"/>
          </w:tcPr>
          <w:p>
            <w:pPr>
              <w:pBdr/>
              <w:spacing w:before="0" w:beforeAutospacing="0"/>
              <w:ind/>
              <w:rPr>
                <w:b/>
                <w:bCs/>
                <w:sz w:val="24"/>
                <w:szCs w:val="24"/>
                <w:lang w:val="de-DE"/>
              </w:rPr>
            </w:pPr>
            <w:r>
              <w:rPr>
                <w:b/>
                <w:bCs/>
                <w:sz w:val="24"/>
                <w:szCs w:val="24"/>
                <w:lang w:val="de-DE"/>
              </w:rPr>
              <w:t xml:space="preserve">Beschreibung</w:t>
            </w:r>
            <w:r>
              <w:rPr>
                <w:b/>
                <w:bCs/>
                <w:sz w:val="24"/>
                <w:szCs w:val="24"/>
                <w:lang w:val="de-DE"/>
              </w:rPr>
            </w:r>
            <w:r>
              <w:rPr>
                <w:b/>
                <w:bCs/>
                <w:sz w:val="24"/>
                <w:szCs w:val="24"/>
                <w:lang w:val="de-DE"/>
              </w:rPr>
            </w:r>
          </w:p>
        </w:tc>
      </w:tr>
      <w:tr>
        <w:trPr>
          <w:trHeight w:val="875"/>
        </w:trPr>
        <w:tc>
          <w:tcPr>
            <w:tcBorders>
              <w:top w:val="single" w:color="000000" w:sz="12" w:space="0"/>
            </w:tcBorders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12" w:space="0"/>
            </w:tcBorders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75"/>
        </w:trPr>
        <w:tc>
          <w:tcPr>
            <w:tcBorders/>
            <w:tcW w:w="28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1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25"/>
        <w:pBdr/>
        <w:spacing w:line="360" w:lineRule="auto"/>
        <w:ind/>
        <w:rPr>
          <w:highlight w:val="none"/>
          <w:lang w:val="de-DE"/>
        </w:rPr>
      </w:pPr>
      <w:r>
        <w:rPr>
          <w:highlight w:val="none"/>
          <w:lang w:val="de-DE"/>
        </w:rPr>
        <w:t xml:space="preserve">Sonstige Anmerkungen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-930</wp:posOffset>
                </wp:positionH>
                <wp:positionV relativeFrom="paragraph">
                  <wp:posOffset>33539</wp:posOffset>
                </wp:positionV>
                <wp:extent cx="6184900" cy="1760769"/>
                <wp:effectExtent l="3175" t="3175" r="3175" b="3175"/>
                <wp:wrapTopAndBottom/>
                <wp:docPr id="1" name="" titl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184899" cy="1760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99999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-0.07pt;mso-position-horizontal:absolute;mso-position-vertical-relative:text;margin-top:2.64pt;mso-position-vertical:absolute;width:487.00pt;height:138.64pt;mso-wrap-distance-left:9.07pt;mso-wrap-distance-top:0.00pt;mso-wrap-distance-right:9.07pt;mso-wrap-distance-bottom:0.00pt;rotation:0;v-text-anchor:top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de-DE"/>
        </w:rPr>
      </w:r>
      <w:r>
        <w:rPr>
          <w:lang w:val="de-DE"/>
        </w:rPr>
      </w:r>
    </w:p>
    <w:p>
      <w:pPr>
        <w:pBdr/>
        <w:spacing w:before="1701" w:beforeAutospacing="0" w:line="360" w:lineRule="auto"/>
        <w:ind w:right="0" w:hanging="3118" w:left="3118"/>
        <w:rPr>
          <w:highlight w:val="none"/>
          <w:lang w:val="de-DE"/>
        </w:rPr>
      </w:pPr>
      <w:r>
        <w:rPr>
          <w:highlight w:val="none"/>
          <w:lang w:val="de-DE"/>
        </w:rPr>
        <w:t xml:space="preserve">Ort, Datum</w:t>
        <w:tab/>
      </w:r>
      <w:r>
        <w:rPr>
          <w:highlight w:val="none"/>
          <w:lang w:val="de-DE"/>
        </w:rPr>
        <w:t xml:space="preserve">Unterschrift Aufsichtsperson(en)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sectPr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283" w:beforeAutospacing="0" w:line="360" w:lineRule="auto"/>
      <w:ind/>
      <w:outlineLvl w:val="2"/>
    </w:pPr>
    <w:rPr>
      <w:rFonts w:ascii="Arial" w:hAnsi="Arial" w:eastAsia="Arial" w:cs="Arial"/>
      <w:b/>
      <w:bCs/>
      <w:color w:val="0f4761" w:themeColor="text1"/>
      <w:sz w:val="22"/>
      <w:szCs w:val="22"/>
      <w:lang w:val="de-DE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link w:val="825"/>
    <w:uiPriority w:val="9"/>
    <w:pPr>
      <w:pBdr/>
      <w:spacing/>
      <w:ind/>
    </w:pPr>
    <w:rPr>
      <w:lang w:val="de-DE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Dr. Gottfried Zimmermann</cp:lastModifiedBy>
  <cp:revision>9</cp:revision>
  <dcterms:modified xsi:type="dcterms:W3CDTF">2024-11-25T14:09:53Z</dcterms:modified>
</cp:coreProperties>
</file>