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Test</w:t>
      </w:r>
      <w:r>
        <w:t xml:space="preserve"> </w:t>
      </w:r>
      <w:r>
        <w:t xml:space="preserve">Result</w:t>
      </w:r>
      <w:r>
        <w:t xml:space="preserve"> </w:t>
      </w:r>
      <w:r>
        <w:t xml:space="preserve">e-Trigger</w:t>
      </w:r>
      <w:r>
        <w:t xml:space="preserve"> </w:t>
      </w:r>
      <w:r>
        <w:t xml:space="preserve">Manual</w:t>
      </w:r>
    </w:p>
    <w:p>
      <w:pPr>
        <w:pStyle w:val="FirstParagraph"/>
      </w:pPr>
      <w:r>
        <w:rPr>
          <w:bCs/>
          <w:b/>
        </w:rPr>
        <w:t xml:space="preserve">Guidance complied by:</w:t>
      </w:r>
      <w:r>
        <w:t xml:space="preserve"> </w:t>
      </w:r>
      <w:r>
        <w:t xml:space="preserve">Sahar Memon, Andrew Zimolzak, Li Wei, Daniel</w:t>
      </w:r>
      <w:r>
        <w:t xml:space="preserve"> </w:t>
      </w:r>
      <w:r>
        <w:t xml:space="preserve">Murphy, Hardeep Singh.</w:t>
      </w:r>
    </w:p>
    <w:p>
      <w:pPr>
        <w:pStyle w:val="BodyText"/>
      </w:pPr>
      <w:r>
        <w:rPr>
          <w:bCs/>
          <w:b/>
        </w:rPr>
        <w:t xml:space="preserve">Affiliation:</w:t>
      </w:r>
      <w:r>
        <w:t xml:space="preserve"> </w:t>
      </w:r>
      <w:r>
        <w:t xml:space="preserve">Michael E. DeBakey Veterans Affairs Medical Center,</w:t>
      </w:r>
      <w:r>
        <w:t xml:space="preserve"> </w:t>
      </w:r>
      <w:r>
        <w:t xml:space="preserve">and Baylor College of Medicine. Houston, TX, USA.</w:t>
      </w:r>
    </w:p>
    <w:p>
      <w:pPr>
        <w:pStyle w:val="BodyText"/>
      </w:pPr>
      <w:r>
        <w:rPr>
          <w:bCs/>
          <w:b/>
        </w:rPr>
        <w:t xml:space="preserve">For questions:</w:t>
      </w:r>
      <w:r>
        <w:t xml:space="preserve"> </w:t>
      </w:r>
      <w:hyperlink r:id="rId20">
        <w:r>
          <w:rPr>
            <w:rStyle w:val="Hyperlink"/>
          </w:rPr>
          <w:t xml:space="preserve">zimolzak@bcm.edu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Sahar.Memon@bcm.edu</w:t>
        </w:r>
      </w:hyperlink>
    </w:p>
    <w:p>
      <w:pPr>
        <w:pStyle w:val="BodyText"/>
      </w:pPr>
      <w:r>
        <w:rPr>
          <w:bCs/>
          <w:b/>
        </w:rPr>
        <w:t xml:space="preserve">Date:</w:t>
      </w:r>
      <w:r>
        <w:t xml:space="preserve"> </w:t>
      </w:r>
      <w:r>
        <w:t xml:space="preserve">October, 2021</w:t>
      </w:r>
    </w:p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manual outlines procedures for implementing e-triggers that</w:t>
      </w:r>
      <w:r>
        <w:t xml:space="preserve"> </w:t>
      </w:r>
      <w:r>
        <w:t xml:space="preserve">identify missed opportunities in follow-up of</w:t>
      </w:r>
      <w:r>
        <w:t xml:space="preserve"> </w:t>
      </w:r>
      <w:r>
        <w:t xml:space="preserve">‘</w:t>
      </w:r>
      <w:r>
        <w:t xml:space="preserve">red flag</w:t>
      </w:r>
      <w:r>
        <w:t xml:space="preserve">’</w:t>
      </w:r>
      <w:r>
        <w:t xml:space="preserve"> </w:t>
      </w:r>
      <w:r>
        <w:t xml:space="preserve">findings</w:t>
      </w:r>
      <w:r>
        <w:t xml:space="preserve"> </w:t>
      </w:r>
      <w:r>
        <w:t xml:space="preserve">suspicious for colorectal or lung cancer. In general, each SQL file</w:t>
      </w:r>
      <w:r>
        <w:t xml:space="preserve"> </w:t>
      </w:r>
      <w:r>
        <w:t xml:space="preserve">proceeds by:</w:t>
      </w:r>
    </w:p>
    <w:p>
      <w:pPr>
        <w:numPr>
          <w:ilvl w:val="0"/>
          <w:numId w:val="1001"/>
        </w:numPr>
      </w:pPr>
      <w:r>
        <w:t xml:space="preserve">defining the red flags that warrant additional evaluation for</w:t>
      </w:r>
      <w:r>
        <w:t xml:space="preserve"> </w:t>
      </w:r>
      <w:r>
        <w:t xml:space="preserve">cancer (often labs or imaging),</w:t>
      </w:r>
    </w:p>
    <w:p>
      <w:pPr>
        <w:numPr>
          <w:ilvl w:val="0"/>
          <w:numId w:val="1001"/>
        </w:numPr>
      </w:pPr>
      <w:r>
        <w:t xml:space="preserve">excluding other explanations for the red flags, such as already</w:t>
      </w:r>
      <w:r>
        <w:t xml:space="preserve"> </w:t>
      </w:r>
      <w:r>
        <w:t xml:space="preserve">diagnosed colon cancer, or known cause of bleeding in the upper GI</w:t>
      </w:r>
      <w:r>
        <w:t xml:space="preserve"> </w:t>
      </w:r>
      <w:r>
        <w:t xml:space="preserve">tract (often based on ICD/CPT codes),</w:t>
      </w:r>
    </w:p>
    <w:p>
      <w:pPr>
        <w:numPr>
          <w:ilvl w:val="0"/>
          <w:numId w:val="1001"/>
        </w:numPr>
      </w:pPr>
      <w:r>
        <w:t xml:space="preserve">excluding patients for whom follow-up is not deemed necessary, and</w:t>
      </w:r>
    </w:p>
    <w:p>
      <w:pPr>
        <w:numPr>
          <w:ilvl w:val="0"/>
          <w:numId w:val="1001"/>
        </w:numPr>
      </w:pPr>
      <w:r>
        <w:t xml:space="preserve">excluding patients for whom appropriate follow-up was already done</w:t>
      </w:r>
      <w:r>
        <w:t xml:space="preserve"> </w:t>
      </w:r>
      <w:r>
        <w:t xml:space="preserve">(e.g., lung biopsy, follow-up imaging, tumor board, usually based</w:t>
      </w:r>
      <w:r>
        <w:t xml:space="preserve"> </w:t>
      </w:r>
      <w:r>
        <w:t xml:space="preserve">on stop codes and procedure codes).</w:t>
      </w:r>
    </w:p>
    <w:p>
      <w:pPr>
        <w:pStyle w:val="FirstParagraph"/>
      </w:pPr>
      <w:r>
        <w:t xml:space="preserve">As an example, the e-trigger for colorectal cancer identifies patients</w:t>
      </w:r>
      <w:r>
        <w:t xml:space="preserve"> </w:t>
      </w:r>
      <w:r>
        <w:t xml:space="preserve">with positive fecal blood tests or iron deficiency anemia, and then</w:t>
      </w:r>
      <w:r>
        <w:t xml:space="preserve"> </w:t>
      </w:r>
      <w:r>
        <w:t xml:space="preserve">excludes patients with any of the following: advanced age, deceased</w:t>
      </w:r>
      <w:r>
        <w:t xml:space="preserve"> </w:t>
      </w:r>
      <w:r>
        <w:t xml:space="preserve">status, known colon cancer, prior colectomy, terminal illnesses or</w:t>
      </w:r>
      <w:r>
        <w:t xml:space="preserve"> </w:t>
      </w:r>
      <w:r>
        <w:t xml:space="preserve">hospice care, presence of a known diagnosis that would cause bleeding</w:t>
      </w:r>
      <w:r>
        <w:t xml:space="preserve"> </w:t>
      </w:r>
      <w:r>
        <w:t xml:space="preserve">in the upper GI tract rather than lower GI tract, and appropriate</w:t>
      </w:r>
      <w:r>
        <w:t xml:space="preserve"> </w:t>
      </w:r>
      <w:r>
        <w:t xml:space="preserve">colonoscopy or GI referral.</w:t>
      </w:r>
    </w:p>
    <w:p>
      <w:pPr>
        <w:pStyle w:val="BodyText"/>
      </w:pPr>
      <w:r>
        <w:t xml:space="preserve">This code is public domain for</w:t>
      </w:r>
      <w:r>
        <w:t xml:space="preserve"> </w:t>
      </w:r>
      <w:r>
        <w:rPr>
          <w:iCs/>
          <w:i/>
        </w:rPr>
        <w:t xml:space="preserve">anyone</w:t>
      </w:r>
      <w:r>
        <w:t xml:space="preserve"> </w:t>
      </w:r>
      <w:r>
        <w:t xml:space="preserve">to use as they wish. However,</w:t>
      </w:r>
      <w:r>
        <w:t xml:space="preserve"> </w:t>
      </w:r>
      <w:r>
        <w:t xml:space="preserve">if you have a published paper based in part on the code, we ask</w:t>
      </w:r>
      <w:r>
        <w:t xml:space="preserve"> </w:t>
      </w:r>
      <w:r>
        <w:t xml:space="preserve">that you cite: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Development and Validation of Trigger Algorithms to Identify Delays in Diagnostic Evaluation of Gastroenterological Cancer.</w:t>
        </w:r>
      </w:hyperlink>
      <w:r>
        <w:t xml:space="preserve"> </w:t>
      </w:r>
      <w:r>
        <w:rPr>
          <w:iCs/>
          <w:i/>
        </w:rPr>
        <w:t xml:space="preserve">Clin Gastroenterol Hepatol.</w:t>
      </w:r>
      <w:r>
        <w:t xml:space="preserve"> </w:t>
      </w:r>
      <w:r>
        <w:t xml:space="preserve">2018 Jan;16(1):90-98.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Computerized Triggers of Big Data to Detect Delays in Follow-up of Chest Imaging Results.</w:t>
        </w:r>
      </w:hyperlink>
      <w:r>
        <w:t xml:space="preserve"> </w:t>
      </w:r>
      <w:r>
        <w:rPr>
          <w:iCs/>
          <w:i/>
        </w:rPr>
        <w:t xml:space="preserve">Chest.</w:t>
      </w:r>
      <w:r>
        <w:t xml:space="preserve"> </w:t>
      </w:r>
      <w:r>
        <w:t xml:space="preserve">2016 Sep;150(3):613-20.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Development and Validation of Electronic Health Record-based Triggers to Detect Delays in Follow-up of Abnormal Lung Imaging Findings.</w:t>
        </w:r>
      </w:hyperlink>
      <w:r>
        <w:t xml:space="preserve"> </w:t>
      </w:r>
      <w:r>
        <w:rPr>
          <w:iCs/>
          <w:i/>
        </w:rPr>
        <w:t xml:space="preserve">Radiology.</w:t>
      </w:r>
      <w:r>
        <w:t xml:space="preserve"> </w:t>
      </w:r>
      <w:r>
        <w:t xml:space="preserve">2015 Oct;277(1):81-7.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Electronic health record-based triggers to detect potential delays in cancer diagnosis.</w:t>
        </w:r>
      </w:hyperlink>
      <w:r>
        <w:t xml:space="preserve"> </w:t>
      </w:r>
      <w:r>
        <w:rPr>
          <w:iCs/>
          <w:i/>
        </w:rPr>
        <w:t xml:space="preserve">BMJ Qual Saf.</w:t>
      </w:r>
      <w:r>
        <w:t xml:space="preserve"> </w:t>
      </w:r>
      <w:r>
        <w:t xml:space="preserve">2014 Jan;23(1):8-16.</w:t>
      </w:r>
    </w:p>
    <w:bookmarkEnd w:id="26"/>
    <w:bookmarkStart w:id="27" w:name="how-are-the-e-triggers-designed"/>
    <w:p>
      <w:pPr>
        <w:pStyle w:val="Heading1"/>
      </w:pPr>
      <w:r>
        <w:t xml:space="preserve">How are the e-triggers designed?</w:t>
      </w:r>
    </w:p>
    <w:p>
      <w:pPr>
        <w:pStyle w:val="FirstParagraph"/>
      </w:pPr>
      <w:r>
        <w:t xml:space="preserve">The lung and colorectal e-triggers are examples of one type of</w:t>
      </w:r>
      <w:r>
        <w:t xml:space="preserve"> </w:t>
      </w:r>
      <w:r>
        <w:t xml:space="preserve">e-trigger, which we call a</w:t>
      </w:r>
      <w:r>
        <w:t xml:space="preserve"> </w:t>
      </w:r>
      <w:r>
        <w:rPr>
          <w:iCs/>
          <w:i/>
        </w:rPr>
        <w:t xml:space="preserve">close the loop e-trigger.</w:t>
      </w:r>
      <w:r>
        <w:t xml:space="preserve"> </w:t>
      </w:r>
      <w:r>
        <w:t xml:space="preserve">These two</w:t>
      </w:r>
      <w:r>
        <w:t xml:space="preserve"> </w:t>
      </w:r>
      <w:r>
        <w:t xml:space="preserve">e-triggers answer the question,</w:t>
      </w:r>
      <w:r>
        <w:t xml:space="preserve"> </w:t>
      </w:r>
      <w:r>
        <w:t xml:space="preserve">“</w:t>
      </w:r>
      <w:r>
        <w:t xml:space="preserve">How do you find (in the database)</w:t>
      </w:r>
      <w:r>
        <w:t xml:space="preserve"> </w:t>
      </w:r>
      <w:r>
        <w:t xml:space="preserve">patients who had a test that shows a possibility of cancer, but who</w:t>
      </w:r>
      <w:r>
        <w:t xml:space="preserve"> </w:t>
      </w:r>
      <w:r>
        <w:t xml:space="preserve">have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had timely follow-up?</w:t>
      </w:r>
      <w:r>
        <w:t xml:space="preserve">”</w:t>
      </w:r>
    </w:p>
    <w:p>
      <w:pPr>
        <w:pStyle w:val="BodyText"/>
      </w:pPr>
      <w:r>
        <w:t xml:space="preserve">Further details about exactly what constitutes exclusion or follow-up</w:t>
      </w:r>
      <w:r>
        <w:t xml:space="preserve"> </w:t>
      </w:r>
      <w:r>
        <w:t xml:space="preserve">can be found in the e-trigger manual appendices. Non-VA sites should</w:t>
      </w:r>
      <w:r>
        <w:t xml:space="preserve"> </w:t>
      </w:r>
      <w:r>
        <w:t xml:space="preserve">consult these appendices, as well as SQL code in order to reimplement</w:t>
      </w:r>
      <w:r>
        <w:t xml:space="preserve"> </w:t>
      </w:r>
      <w:r>
        <w:t xml:space="preserve">the e-triggers in local SQL.</w:t>
      </w:r>
    </w:p>
    <w:bookmarkEnd w:id="27"/>
    <w:bookmarkStart w:id="33" w:name="Xa7243ff0f22bb3b4e78ec0f037f613b8a97b145"/>
    <w:p>
      <w:pPr>
        <w:pStyle w:val="Heading1"/>
      </w:pPr>
      <w:r>
        <w:t xml:space="preserve">How to Apply e-Trigger Process at a VA Facility</w:t>
      </w:r>
    </w:p>
    <w:bookmarkStart w:id="29" w:name="downloading-the-sql-code"/>
    <w:p>
      <w:pPr>
        <w:pStyle w:val="Heading2"/>
      </w:pPr>
      <w:r>
        <w:t xml:space="preserve">Downloading the SQL code</w:t>
      </w:r>
    </w:p>
    <w:p>
      <w:pPr>
        <w:numPr>
          <w:ilvl w:val="0"/>
          <w:numId w:val="1003"/>
        </w:numPr>
      </w:pPr>
      <w:r>
        <w:t xml:space="preserve">The most recent version of the code can be downloaded from</w:t>
      </w:r>
      <w:r>
        <w:t xml:space="preserve"> </w:t>
      </w:r>
      <w:hyperlink r:id="rId28">
        <w:r>
          <w:rPr>
            <w:rStyle w:val="Hyperlink"/>
          </w:rPr>
          <w:t xml:space="preserve">github.com/zimolzak/instruct-project-etrigger-sql</w:t>
        </w:r>
      </w:hyperlink>
      <w:r>
        <w:t xml:space="preserve"> </w:t>
      </w:r>
      <w:r>
        <w:t xml:space="preserve">where you can also find additional procedures for setting dates,</w:t>
      </w:r>
      <w:r>
        <w:t xml:space="preserve"> </w:t>
      </w:r>
      <w:r>
        <w:t xml:space="preserve">and guidance about which tables to export for final reporting.</w:t>
      </w:r>
    </w:p>
    <w:p>
      <w:pPr>
        <w:numPr>
          <w:ilvl w:val="0"/>
          <w:numId w:val="1003"/>
        </w:numPr>
      </w:pPr>
      <w:r>
        <w:t xml:space="preserve">Before downloading, jot down or copy/paste the text in the bar near</w:t>
      </w:r>
      <w:r>
        <w:t xml:space="preserve"> </w:t>
      </w:r>
      <w:r>
        <w:t xml:space="preserve">the top of GitHub, especially the</w:t>
      </w:r>
      <w:r>
        <w:t xml:space="preserve"> </w:t>
      </w:r>
      <w:r>
        <w:rPr>
          <w:bCs/>
          <w:b/>
        </w:rPr>
        <w:t xml:space="preserve">seven random-looking letters</w:t>
      </w:r>
      <w:r>
        <w:rPr>
          <w:bCs/>
          <w:b/>
        </w:rPr>
        <w:t xml:space="preserve"> </w:t>
      </w:r>
      <w:r>
        <w:rPr>
          <w:bCs/>
          <w:b/>
        </w:rPr>
        <w:t xml:space="preserve">and numbers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LWeiBCM Update Lung.sql …</w:t>
      </w:r>
      <w:r>
        <w:t xml:space="preserve"> </w:t>
      </w:r>
      <w:r>
        <w:rPr>
          <w:bCs/>
          <w:b/>
        </w:rPr>
        <w:t xml:space="preserve">8c2f54a</w:t>
      </w:r>
      <w:r>
        <w:t xml:space="preserve"> </w:t>
      </w:r>
      <w:r>
        <w:t xml:space="preserve">2</w:t>
      </w:r>
      <w:r>
        <w:t xml:space="preserve"> </w:t>
      </w:r>
      <w:r>
        <w:t xml:space="preserve">days ago.</w:t>
      </w:r>
      <w:r>
        <w:t xml:space="preserve">”</w:t>
      </w:r>
      <w:r>
        <w:t xml:space="preserve"> </w:t>
      </w:r>
      <w:r>
        <w:t xml:space="preserve">This will identify the exact version of the code you</w:t>
      </w:r>
      <w:r>
        <w:t xml:space="preserve"> </w:t>
      </w:r>
      <w:r>
        <w:t xml:space="preserve">downloaded, for future reference.</w:t>
      </w:r>
    </w:p>
    <w:p>
      <w:pPr>
        <w:numPr>
          <w:ilvl w:val="0"/>
          <w:numId w:val="1003"/>
        </w:numPr>
      </w:pPr>
      <w:r>
        <w:t xml:space="preserve">Click on the SQL file you want above (such as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Click on the grey button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near the top the page that comes up.</w:t>
      </w:r>
    </w:p>
    <w:p>
      <w:pPr>
        <w:numPr>
          <w:ilvl w:val="0"/>
          <w:numId w:val="1003"/>
        </w:numPr>
      </w:pPr>
      <w:r>
        <w:t xml:space="preserve">Use your browser menu to save file to disk (such as</w:t>
      </w:r>
      <w:r>
        <w:t xml:space="preserve"> </w:t>
      </w:r>
      <w:r>
        <w:t xml:space="preserve">“</w:t>
      </w:r>
      <w:r>
        <w:t xml:space="preserve">File / Save</w:t>
      </w:r>
      <w:r>
        <w:t xml:space="preserve"> </w:t>
      </w:r>
      <w:r>
        <w:t xml:space="preserve">Page As…</w:t>
      </w:r>
      <w:r>
        <w:t xml:space="preserve">”</w:t>
      </w:r>
      <w:r>
        <w:t xml:space="preserve">).</w:t>
      </w:r>
    </w:p>
    <w:bookmarkEnd w:id="29"/>
    <w:bookmarkStart w:id="3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This example assumes that you want to retrieve one month worth of</w:t>
      </w:r>
      <w:r>
        <w:t xml:space="preserve"> </w:t>
      </w:r>
      <w:r>
        <w:t xml:space="preserve">e-trigger counts and patient information.</w:t>
      </w:r>
    </w:p>
    <w:p>
      <w:pPr>
        <w:numPr>
          <w:ilvl w:val="0"/>
          <w:numId w:val="1004"/>
        </w:numPr>
      </w:pPr>
      <w:r>
        <w:t xml:space="preserve">Find the first day of the current month (e.g., if today is Feb 19,</w:t>
      </w:r>
      <w:r>
        <w:t xml:space="preserve"> </w:t>
      </w:r>
      <w:r>
        <w:t xml:space="preserve">you rewind to find Feb 1).</w:t>
      </w:r>
    </w:p>
    <w:p>
      <w:pPr>
        <w:numPr>
          <w:ilvl w:val="0"/>
          <w:numId w:val="1004"/>
        </w:numPr>
      </w:pPr>
      <w:r>
        <w:t xml:space="preserve">Subtract two more months from that (so you get Dec 1) if you are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. Subtract</w:t>
      </w:r>
      <w:r>
        <w:t xml:space="preserve"> </w:t>
      </w:r>
      <w:r>
        <w:rPr>
          <w:iCs/>
          <w:i/>
        </w:rPr>
        <w:t xml:space="preserve">three months</w:t>
      </w:r>
      <w:r>
        <w:t xml:space="preserve"> </w:t>
      </w:r>
      <w:r>
        <w:t xml:space="preserve">if you are running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sp_start</w:t>
      </w:r>
      <w:r>
        <w:t xml:space="preserve"> </w:t>
      </w:r>
      <w:r>
        <w:t xml:space="preserve">equal to that (such as</w:t>
      </w:r>
      <w:r>
        <w:t xml:space="preserve"> </w:t>
      </w:r>
      <w:r>
        <w:rPr>
          <w:rStyle w:val="VerbatimChar"/>
        </w:rPr>
        <w:t xml:space="preserve">set @sp_start='2019-12-01 00:00:00'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sp_end</w:t>
      </w:r>
      <w:r>
        <w:t xml:space="preserve"> </w:t>
      </w:r>
      <w:r>
        <w:t xml:space="preserve">to the end of that month (such as</w:t>
      </w:r>
      <w:r>
        <w:t xml:space="preserve"> </w:t>
      </w:r>
      <w:r>
        <w:rPr>
          <w:rStyle w:val="VerbatimChar"/>
        </w:rPr>
        <w:t xml:space="preserve">set @sp_end='2019-12-31 23:59:59'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You need to set your sta3n and sta6a. You can do this by</w:t>
      </w:r>
      <w:r>
        <w:t xml:space="preserve"> </w:t>
      </w:r>
      <w:r>
        <w:t xml:space="preserve">commenting/uncommenting code in lines 100–124 for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, or</w:t>
      </w:r>
      <w:r>
        <w:t xml:space="preserve"> </w:t>
      </w:r>
      <w:r>
        <w:t xml:space="preserve">lines 118–146 for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Done! Other variables like</w:t>
      </w:r>
      <w:r>
        <w:t xml:space="preserve"> </w:t>
      </w:r>
      <w:r>
        <w:rPr>
          <w:rStyle w:val="VerbatimChar"/>
        </w:rPr>
        <w:t xml:space="preserve">fu_period</w:t>
      </w:r>
      <w:r>
        <w:t xml:space="preserve"> </w:t>
      </w:r>
      <w:r>
        <w:t xml:space="preserve">can be left as-is.</w:t>
      </w:r>
    </w:p>
    <w:bookmarkEnd w:id="30"/>
    <w:bookmarkStart w:id="31" w:name="running-code"/>
    <w:p>
      <w:pPr>
        <w:pStyle w:val="Heading2"/>
      </w:pPr>
      <w:r>
        <w:t xml:space="preserve">Running code</w:t>
      </w:r>
    </w:p>
    <w:p>
      <w:pPr>
        <w:numPr>
          <w:ilvl w:val="0"/>
          <w:numId w:val="1005"/>
        </w:numPr>
      </w:pPr>
      <w:r>
        <w:t xml:space="preserve">Start your operational access to the data warehouse via your usual</w:t>
      </w:r>
      <w:r>
        <w:t xml:space="preserve"> </w:t>
      </w:r>
      <w:r>
        <w:t xml:space="preserve">method (e.g., desktop or Citrix connection to SQL Server Management</w:t>
      </w:r>
      <w:r>
        <w:t xml:space="preserve"> </w:t>
      </w:r>
      <w:r>
        <w:t xml:space="preserve">Studio software). Login to a SQL server (e.g.</w:t>
      </w:r>
      <w:r>
        <w:t xml:space="preserve"> </w:t>
      </w:r>
      <w:r>
        <w:rPr>
          <w:rStyle w:val="VerbatimChar"/>
        </w:rPr>
        <w:t xml:space="preserve">vhacdwa01.vha.med.va.gov</w:t>
      </w:r>
      <w:r>
        <w:t xml:space="preserve">) and authenticate (using either</w:t>
      </w:r>
      <w:r>
        <w:t xml:space="preserve"> </w:t>
      </w:r>
      <w:r>
        <w:t xml:space="preserve">username such as</w:t>
      </w:r>
      <w:r>
        <w:t xml:space="preserve"> </w:t>
      </w:r>
      <w:r>
        <w:rPr>
          <w:rStyle w:val="VerbatimChar"/>
        </w:rPr>
        <w:t xml:space="preserve">vha01\vhabhs...</w:t>
      </w:r>
      <w:r>
        <w:t xml:space="preserve"> </w:t>
      </w:r>
      <w:r>
        <w:t xml:space="preserve">plus password, or using Windows</w:t>
      </w:r>
      <w:r>
        <w:t xml:space="preserve"> </w:t>
      </w:r>
      <w:r>
        <w:t xml:space="preserve">authentication).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Recommended:</w:t>
      </w:r>
      <w:r>
        <w:t xml:space="preserve"> </w:t>
      </w:r>
      <w:r>
        <w:t xml:space="preserve">Run sections of the SQL file sequentially (for</w:t>
      </w:r>
      <w:r>
        <w:t xml:space="preserve"> </w:t>
      </w:r>
      <w:r>
        <w:t xml:space="preserve">example, lines 1–198 of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 </w:t>
      </w:r>
      <w:r>
        <w:t xml:space="preserve">cover the first two</w:t>
      </w:r>
      <w:r>
        <w:t xml:space="preserve"> </w:t>
      </w:r>
      <w:r>
        <w:rPr>
          <w:rStyle w:val="VerbatimChar"/>
        </w:rPr>
        <w:t xml:space="preserve">INSERT INTO</w:t>
      </w:r>
      <w:r>
        <w:t xml:space="preserve"> </w:t>
      </w:r>
      <w:r>
        <w:t xml:space="preserve">operations concerning tables that were newly created), inspecting for</w:t>
      </w:r>
      <w:r>
        <w:t xml:space="preserve"> </w:t>
      </w:r>
      <w:r>
        <w:t xml:space="preserve">errors.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Alternatively:</w:t>
      </w:r>
      <w:r>
        <w:t xml:space="preserve"> </w:t>
      </w:r>
      <w:r>
        <w:t xml:space="preserve">run the query all at once, inspecting for errors.</w:t>
      </w:r>
    </w:p>
    <w:bookmarkEnd w:id="31"/>
    <w:bookmarkStart w:id="32" w:name="viewing-and-validating-data"/>
    <w:p>
      <w:pPr>
        <w:pStyle w:val="Heading2"/>
      </w:pPr>
      <w:r>
        <w:t xml:space="preserve">Viewing and validating data</w:t>
      </w:r>
    </w:p>
    <w:p>
      <w:pPr>
        <w:numPr>
          <w:ilvl w:val="0"/>
          <w:numId w:val="1006"/>
        </w:numPr>
      </w:pPr>
      <w:r>
        <w:t xml:space="preserve">To view patients with positive lung e-triggers, run the following</w:t>
      </w:r>
      <w:r>
        <w:t xml:space="preserve"> </w:t>
      </w:r>
      <w:r>
        <w:t xml:space="preserve">SQL, after</w:t>
      </w:r>
      <w:r>
        <w:t xml:space="preserve"> </w:t>
      </w:r>
      <w:r>
        <w:rPr>
          <w:rStyle w:val="VerbatimChar"/>
        </w:rPr>
        <w:t xml:space="preserve">Lung.sql</w:t>
      </w:r>
      <w:r>
        <w:t xml:space="preserve"> </w:t>
      </w:r>
      <w:r>
        <w:t xml:space="preserve">completes:</w:t>
      </w:r>
      <w:r>
        <w:t xml:space="preserve"> </w:t>
      </w:r>
      <w:r>
        <w:rPr>
          <w:rStyle w:val="VerbatimChar"/>
        </w:rPr>
        <w:t xml:space="preserve">select * from #Lung_Sta3n528_3_Ins_U_TriggerPos</w:t>
      </w:r>
    </w:p>
    <w:p>
      <w:pPr>
        <w:numPr>
          <w:ilvl w:val="0"/>
          <w:numId w:val="1006"/>
        </w:numPr>
      </w:pPr>
      <w:r>
        <w:t xml:space="preserve">For lung counts,</w:t>
      </w:r>
      <w:r>
        <w:t xml:space="preserve"> </w:t>
      </w:r>
      <w:r>
        <w:rPr>
          <w:rStyle w:val="VerbatimChar"/>
        </w:rPr>
        <w:t xml:space="preserve">Lung_Sta3n528_4_01_Count</w:t>
      </w:r>
      <w:r>
        <w:t xml:space="preserve"> </w:t>
      </w:r>
      <w:r>
        <w:t xml:space="preserve">should display automatically.</w:t>
      </w:r>
    </w:p>
    <w:p>
      <w:pPr>
        <w:numPr>
          <w:ilvl w:val="0"/>
          <w:numId w:val="1006"/>
        </w:numPr>
      </w:pPr>
      <w:r>
        <w:t xml:space="preserve">To view patients with positive colorectal e-triggers, run the</w:t>
      </w:r>
      <w:r>
        <w:t xml:space="preserve"> </w:t>
      </w:r>
      <w:r>
        <w:t xml:space="preserve">following SQL, after</w:t>
      </w:r>
      <w:r>
        <w:t xml:space="preserve"> </w:t>
      </w:r>
      <w:r>
        <w:rPr>
          <w:rStyle w:val="VerbatimChar"/>
        </w:rPr>
        <w:t xml:space="preserve">Fobt.sql</w:t>
      </w:r>
      <w:r>
        <w:t xml:space="preserve"> </w:t>
      </w:r>
      <w:r>
        <w:t xml:space="preserve">completes:</w:t>
      </w:r>
      <w:r>
        <w:t xml:space="preserve"> </w:t>
      </w:r>
      <w:r>
        <w:rPr>
          <w:rStyle w:val="VerbatimChar"/>
        </w:rPr>
        <w:t xml:space="preserve">select * from #FOBT_Sta3n528_5_Ins_U_TriggerPos</w:t>
      </w:r>
    </w:p>
    <w:p>
      <w:pPr>
        <w:numPr>
          <w:ilvl w:val="0"/>
          <w:numId w:val="1006"/>
        </w:numPr>
      </w:pPr>
      <w:r>
        <w:t xml:space="preserve">For colorectal counts,</w:t>
      </w:r>
      <w:r>
        <w:t xml:space="preserve"> </w:t>
      </w:r>
      <w:r>
        <w:rPr>
          <w:rStyle w:val="VerbatimChar"/>
        </w:rPr>
        <w:t xml:space="preserve">FOBT_Sta3n528_5_Ins_X_count</w:t>
      </w:r>
      <w:r>
        <w:t xml:space="preserve"> </w:t>
      </w:r>
      <w:r>
        <w:t xml:space="preserve">should display</w:t>
      </w:r>
      <w:r>
        <w:t xml:space="preserve"> </w:t>
      </w:r>
      <w:r>
        <w:t xml:space="preserve">automatically.</w:t>
      </w:r>
    </w:p>
    <w:p>
      <w:pPr>
        <w:pStyle w:val="FirstParagraph"/>
      </w:pPr>
      <w:r>
        <w:t xml:space="preserve">The site personnel doing</w:t>
      </w:r>
      <w:r>
        <w:t xml:space="preserve"> </w:t>
      </w:r>
      <w:r>
        <w:rPr>
          <w:bCs/>
          <w:b/>
        </w:rPr>
        <w:t xml:space="preserve">validation</w:t>
      </w:r>
      <w:r>
        <w:t xml:space="preserve"> </w:t>
      </w:r>
      <w:r>
        <w:t xml:space="preserve">should receive the</w:t>
      </w:r>
      <w:r>
        <w:t xml:space="preserve"> </w:t>
      </w:r>
      <w:r>
        <w:t xml:space="preserve">“</w:t>
      </w:r>
      <w:r>
        <w:t xml:space="preserve">Ins_U_TriggerPos</w:t>
      </w:r>
      <w:r>
        <w:t xml:space="preserve">”</w:t>
      </w:r>
      <w:r>
        <w:t xml:space="preserve"> </w:t>
      </w:r>
      <w:r>
        <w:t xml:space="preserve">tables (which will contain PHI, so don’t send</w:t>
      </w:r>
      <w:r>
        <w:t xml:space="preserve"> </w:t>
      </w:r>
      <w:r>
        <w:t xml:space="preserve">outside your station). You may review all, or randomly select a few</w:t>
      </w:r>
      <w:r>
        <w:t xml:space="preserve"> </w:t>
      </w:r>
      <w:r>
        <w:t xml:space="preserve">patients with positive e-trigger, and securely transmit last name and</w:t>
      </w:r>
      <w:r>
        <w:t xml:space="preserve"> </w:t>
      </w:r>
      <w:r>
        <w:t xml:space="preserve">last 4 of SSN from these patients to the reviewer, who will validate</w:t>
      </w:r>
      <w:r>
        <w:t xml:space="preserve"> </w:t>
      </w:r>
      <w:r>
        <w:t xml:space="preserve">via CPRS that the sample patients have a positive red flag inside the</w:t>
      </w:r>
      <w:r>
        <w:t xml:space="preserve"> </w:t>
      </w:r>
      <w:r>
        <w:t xml:space="preserve">time period of interest.</w:t>
      </w:r>
    </w:p>
    <w:p>
      <w:pPr>
        <w:pStyle w:val="BodyText"/>
      </w:pPr>
      <w:r>
        <w:t xml:space="preserve">Final note: The VA Corporate Data Warehouse releases patch updates</w:t>
      </w:r>
      <w:r>
        <w:t xml:space="preserve"> </w:t>
      </w:r>
      <w:r>
        <w:t xml:space="preserve">periodically, and this might require ongoing minor changes/updates to</w:t>
      </w:r>
      <w:r>
        <w:t xml:space="preserve"> </w:t>
      </w:r>
      <w:r>
        <w:t xml:space="preserve">SQL code, by each site analyst. Standard codes (CPT, ICD, ICDProc,</w:t>
      </w:r>
      <w:r>
        <w:t xml:space="preserve"> </w:t>
      </w:r>
      <w:r>
        <w:t xml:space="preserve">LOINC, Stop code, etc.) tend to change every year, with addition of new</w:t>
      </w:r>
      <w:r>
        <w:t xml:space="preserve"> </w:t>
      </w:r>
      <w:r>
        <w:t xml:space="preserve">codes and removal of old codes. These changes require corresponding</w:t>
      </w:r>
      <w:r>
        <w:t xml:space="preserve"> </w:t>
      </w:r>
      <w:r>
        <w:t xml:space="preserve">updates in the SQL code. Important note here is that you only add new</w:t>
      </w:r>
      <w:r>
        <w:t xml:space="preserve"> </w:t>
      </w:r>
      <w:r>
        <w:t xml:space="preserve">codes to the SQL;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remove the old ones (this is so the e-trigger</w:t>
      </w:r>
      <w:r>
        <w:t xml:space="preserve"> </w:t>
      </w:r>
      <w:r>
        <w:t xml:space="preserve">continues to capture usage of both the historical and new codes).</w:t>
      </w:r>
    </w:p>
    <w:bookmarkEnd w:id="32"/>
    <w:bookmarkEnd w:id="33"/>
    <w:bookmarkStart w:id="34" w:name="Xb2b44845bcb63f81fd8207b1cc3d42564c18f7d"/>
    <w:p>
      <w:pPr>
        <w:pStyle w:val="Heading1"/>
      </w:pPr>
      <w:r>
        <w:t xml:space="preserve">Further reading (relevant files/attachments)</w:t>
      </w:r>
    </w:p>
    <w:p>
      <w:pPr>
        <w:numPr>
          <w:ilvl w:val="0"/>
          <w:numId w:val="1007"/>
        </w:numPr>
        <w:pStyle w:val="Compact"/>
      </w:pPr>
      <w:r>
        <w:t xml:space="preserve">Reducing Missed Test Results Change Package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Lung.sql</w:t>
      </w:r>
      <w:r>
        <w:t xml:space="preserve"> </w:t>
      </w:r>
      <w:r>
        <w:t xml:space="preserve">code file (see GitHub)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Fobt.sql</w:t>
      </w:r>
      <w:r>
        <w:t xml:space="preserve"> </w:t>
      </w:r>
      <w:r>
        <w:t xml:space="preserve">code file (see GitHub)</w:t>
      </w:r>
    </w:p>
    <w:p>
      <w:r>
        <w:pict>
          <v:rect style="width:0;height:1.5pt" o:hralign="center" o:hrstd="t" o:hr="t"/>
        </w:pict>
      </w:r>
    </w:p>
    <w:bookmarkEnd w:id="34"/>
    <w:bookmarkStart w:id="38" w:name="appendix-colorectal-red-flag-criteria"/>
    <w:p>
      <w:pPr>
        <w:pStyle w:val="Heading1"/>
      </w:pPr>
      <w:r>
        <w:t xml:space="preserve">APPENDIX: Colorectal Red Flag Criteria</w:t>
      </w:r>
    </w:p>
    <w:p>
      <w:pPr>
        <w:numPr>
          <w:ilvl w:val="0"/>
          <w:numId w:val="1008"/>
        </w:numPr>
        <w:pStyle w:val="Compact"/>
      </w:pPr>
      <w:r>
        <w:t xml:space="preserve">Identify all patient records with iron deficiency anemia, defined as:</w:t>
      </w:r>
    </w:p>
    <w:p>
      <w:pPr>
        <w:pStyle w:val="FirstParagraph"/>
      </w:pPr>
      <w:r>
        <w:t xml:space="preserve">(hemoglobin (Hb) less than or equal to 11 g/dL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mean</w:t>
      </w:r>
      <w:r>
        <w:t xml:space="preserve"> </w:t>
      </w:r>
      <w:r>
        <w:t xml:space="preserve">corpuscular volume (MCV) less than or equal to 81 fL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no</w:t>
      </w:r>
      <w:r>
        <w:t xml:space="preserve"> </w:t>
      </w:r>
      <w:r>
        <w:t xml:space="preserve">ferritin greater than or equal to 100 ng/mL within 12 months before or</w:t>
      </w:r>
      <w:r>
        <w:t xml:space="preserve"> </w:t>
      </w:r>
      <w:r>
        <w:t xml:space="preserve">60 days after CBC (i.e., ferritin not checked or result &lt; 100)</w:t>
      </w:r>
      <w:r>
        <w:t xml:space="preserve"> </w:t>
      </w:r>
      <w:r>
        <w:rPr>
          <w:vertAlign w:val="superscript"/>
        </w:rPr>
        <w:t xml:space="preserve">3</w:t>
      </w:r>
      <w:r>
        <w:t xml:space="preserve">)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(a positive fecal occult blood test (FOBT) or fecal immunochemical</w:t>
      </w:r>
      <w:r>
        <w:t xml:space="preserve"> </w:t>
      </w:r>
      <w:r>
        <w:t xml:space="preserve">test (FIT)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result)</w:t>
      </w:r>
    </w:p>
    <w:bookmarkStart w:id="35" w:name="clinical-exclusion-criteria"/>
    <w:p>
      <w:pPr>
        <w:pStyle w:val="Heading2"/>
      </w:pPr>
      <w:r>
        <w:t xml:space="preserve">Clinical Exclusion Criteria</w:t>
      </w:r>
    </w:p>
    <w:p>
      <w:pPr>
        <w:numPr>
          <w:ilvl w:val="0"/>
          <w:numId w:val="1009"/>
        </w:numPr>
      </w:pPr>
      <w:r>
        <w:t xml:space="preserve">Then exclude patients &lt; 40 years old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&gt;75 years old on test</w:t>
      </w:r>
      <w:r>
        <w:t xml:space="preserve"> </w:t>
      </w:r>
      <w:r>
        <w:t xml:space="preserve">result date</w:t>
      </w:r>
    </w:p>
    <w:p>
      <w:pPr>
        <w:numPr>
          <w:ilvl w:val="0"/>
          <w:numId w:val="1009"/>
        </w:numPr>
      </w:pPr>
      <w:r>
        <w:t xml:space="preserve">Then exclude patients listed as deceased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60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active colon cancer diagnosis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colectomy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rPr>
          <w:bCs/>
          <w:b/>
        </w:rPr>
        <w:t xml:space="preserve">any time prior to and 60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enrolled in hospice or palliative care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 and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a diagnosis of pancreatic cancer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leukemia (except acute lymphocytic)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liver cancer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biliary cancer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esophageal cancer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gastric cancer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brain cancer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 cancer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ovarian cancer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peritoneal, omental, or mesenteric cancer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myeloma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lung, bronchus, tracheal, or mesothelial cancer diagnosis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 and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exclude patients with diagnosis of upper GI bleeding</w:t>
      </w:r>
      <w:r>
        <w:t xml:space="preserve"> </w:t>
      </w:r>
      <w:r>
        <w:t xml:space="preserve">(hematemesis)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ulcer of esophagus, stomach or duodenum with</w:t>
      </w:r>
      <w:r>
        <w:t xml:space="preserve"> </w:t>
      </w:r>
      <w:r>
        <w:t xml:space="preserve">bleeding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6 months prior to</w:t>
      </w:r>
      <w:r>
        <w:t xml:space="preserve"> </w:t>
      </w:r>
      <w:r>
        <w:t xml:space="preserve">the test result date</w:t>
      </w:r>
    </w:p>
    <w:p>
      <w:pPr>
        <w:numPr>
          <w:ilvl w:val="0"/>
          <w:numId w:val="1009"/>
        </w:numPr>
      </w:pPr>
      <w:r>
        <w:t xml:space="preserve">Then exclude patients with colonoscopy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rPr>
          <w:bCs/>
          <w:b/>
        </w:rPr>
        <w:t xml:space="preserve">within 3 years prior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menorrhagia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hematuria</w:t>
      </w:r>
      <w:r>
        <w:t xml:space="preserve"> </w:t>
      </w:r>
      <w:r>
        <w:rPr>
          <w:vertAlign w:val="superscript"/>
        </w:rPr>
        <w:t xml:space="preserve">25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epistaxis</w:t>
      </w:r>
      <w:r>
        <w:t xml:space="preserve"> </w:t>
      </w:r>
      <w:r>
        <w:rPr>
          <w:vertAlign w:val="superscript"/>
        </w:rPr>
        <w:t xml:space="preserve">26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uterine,</w:t>
      </w:r>
      <w:r>
        <w:t xml:space="preserve"> </w:t>
      </w:r>
      <w:r>
        <w:t xml:space="preserve">cervical or vaginal bleeding</w:t>
      </w:r>
      <w:r>
        <w:t xml:space="preserve"> </w:t>
      </w:r>
      <w:r>
        <w:rPr>
          <w:vertAlign w:val="superscript"/>
        </w:rPr>
        <w:t xml:space="preserve">27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hemoptysis</w:t>
      </w:r>
      <w:r>
        <w:t xml:space="preserve"> </w:t>
      </w:r>
      <w:r>
        <w:rPr>
          <w:vertAlign w:val="superscript"/>
        </w:rPr>
        <w:t xml:space="preserve">28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secondary</w:t>
      </w:r>
      <w:r>
        <w:t xml:space="preserve"> </w:t>
      </w:r>
      <w:r>
        <w:t xml:space="preserve">hemorrhage</w:t>
      </w:r>
      <w:r>
        <w:t xml:space="preserve"> </w:t>
      </w:r>
      <w:r>
        <w:rPr>
          <w:vertAlign w:val="superscript"/>
        </w:rPr>
        <w:t xml:space="preserve">29</w:t>
      </w:r>
      <w:r>
        <w:t xml:space="preserve"> </w:t>
      </w:r>
      <w:r>
        <w:rPr>
          <w:bCs/>
          <w:b/>
        </w:rPr>
        <w:t xml:space="preserve">within 6 months prior to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diagnosis of pregnancy</w:t>
      </w:r>
      <w:r>
        <w:t xml:space="preserve"> </w:t>
      </w:r>
      <w:r>
        <w:rPr>
          <w:vertAlign w:val="superscript"/>
        </w:rPr>
        <w:t xml:space="preserve">30</w:t>
      </w:r>
      <w:r>
        <w:t xml:space="preserve"> </w:t>
      </w:r>
      <w:r>
        <w:rPr>
          <w:bCs/>
          <w:b/>
        </w:rPr>
        <w:t xml:space="preserve">within 1 year prior to or 60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09"/>
        </w:numPr>
      </w:pPr>
      <w:r>
        <w:t xml:space="preserve">Then for iron deficiency anemia only, exclude patients with</w:t>
      </w:r>
      <w:r>
        <w:t xml:space="preserve"> </w:t>
      </w:r>
      <w:r>
        <w:t xml:space="preserve">thalassemia</w:t>
      </w:r>
      <w:r>
        <w:t xml:space="preserve"> </w:t>
      </w:r>
      <w:r>
        <w:rPr>
          <w:vertAlign w:val="superscript"/>
        </w:rPr>
        <w:t xml:space="preserve">31</w:t>
      </w:r>
      <w:r>
        <w:t xml:space="preserve"> </w:t>
      </w:r>
      <w:r>
        <w:rPr>
          <w:bCs/>
          <w:b/>
        </w:rPr>
        <w:t xml:space="preserve">any time prior to or within 60 days after</w:t>
      </w:r>
      <w:r>
        <w:t xml:space="preserve"> </w:t>
      </w:r>
      <w:r>
        <w:t xml:space="preserve">test</w:t>
      </w:r>
      <w:r>
        <w:t xml:space="preserve"> </w:t>
      </w:r>
      <w:r>
        <w:t xml:space="preserve">result date</w:t>
      </w:r>
    </w:p>
    <w:bookmarkEnd w:id="35"/>
    <w:bookmarkStart w:id="36" w:name="expected-follow-up-criteria"/>
    <w:p>
      <w:pPr>
        <w:pStyle w:val="Heading2"/>
      </w:pPr>
      <w:r>
        <w:t xml:space="preserve">Expected Follow-up Criteria</w:t>
      </w:r>
    </w:p>
    <w:p>
      <w:pPr>
        <w:numPr>
          <w:ilvl w:val="0"/>
          <w:numId w:val="1010"/>
        </w:numPr>
      </w:pPr>
      <w:r>
        <w:t xml:space="preserve">Then exclude patients with a completed gastroenterology visit</w:t>
      </w:r>
      <w:r>
        <w:t xml:space="preserve"> </w:t>
      </w:r>
      <w:r>
        <w:rPr>
          <w:vertAlign w:val="superscript"/>
        </w:rPr>
        <w:t xml:space="preserve">32</w:t>
      </w:r>
      <w:r>
        <w:t xml:space="preserve"> </w:t>
      </w:r>
      <w:r>
        <w:rPr>
          <w:bCs/>
          <w:b/>
        </w:rPr>
        <w:t xml:space="preserve">within 60 days after</w:t>
      </w:r>
      <w:r>
        <w:t xml:space="preserve"> </w:t>
      </w:r>
      <w:r>
        <w:t xml:space="preserve">test result date</w:t>
      </w:r>
    </w:p>
    <w:p>
      <w:pPr>
        <w:numPr>
          <w:ilvl w:val="0"/>
          <w:numId w:val="1010"/>
        </w:numPr>
      </w:pPr>
      <w:r>
        <w:t xml:space="preserve">Then exclude patients with a colonoscopy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60 days after</w:t>
      </w:r>
      <w:r>
        <w:t xml:space="preserve"> </w:t>
      </w:r>
      <w:r>
        <w:t xml:space="preserve">test result date</w:t>
      </w:r>
    </w:p>
    <w:bookmarkEnd w:id="36"/>
    <w:bookmarkStart w:id="37" w:name="footnotes-colorectal"/>
    <w:p>
      <w:pPr>
        <w:pStyle w:val="Heading2"/>
      </w:pPr>
      <w:r>
        <w:t xml:space="preserve">Footnotes (colorectal)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LOINC: 718-7, 30313-1, 30350-3, 30352-9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LOINC: 30428-7, 787-2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LOINC: 2276-4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LOINC: 50196, 14563, 14564, 14565, 38527, 38526, 57803, 7905,</w:t>
      </w:r>
      <w:r>
        <w:t xml:space="preserve"> </w:t>
      </w:r>
      <w:r>
        <w:t xml:space="preserve">56490, 56491, 59841, 57804, 2335, 29771, 57804, 59841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Based on status in mortality table</w:t>
      </w:r>
    </w:p>
    <w:p>
      <w:pPr>
        <w:pStyle w:val="BodyText"/>
      </w:pPr>
      <w:r>
        <w:rPr>
          <w:vertAlign w:val="superscript"/>
        </w:rPr>
        <w:t xml:space="preserve">6</w:t>
      </w:r>
      <w:r>
        <w:t xml:space="preserve"> </w:t>
      </w:r>
      <w:r>
        <w:t xml:space="preserve">ICD-10 colon: C18.3, C18.4, C18.6, C18.7, C18.0, C18.1, C18.2,</w:t>
      </w:r>
      <w:r>
        <w:t xml:space="preserve"> </w:t>
      </w:r>
      <w:r>
        <w:t xml:space="preserve">C18.5, C18.8, C18.9, C19, C20, C21.1, C21.0, C21.8; ICD-9: 153.xx, 154.0, 154.1, 154.8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0</w:t>
      </w:r>
      <w:r>
        <w:t xml:space="preserve"> </w:t>
      </w:r>
      <w:r>
        <w:t xml:space="preserve">and 9)</w:t>
      </w:r>
    </w:p>
    <w:p>
      <w:pPr>
        <w:pStyle w:val="BodyText"/>
      </w:pPr>
      <w:r>
        <w:rPr>
          <w:vertAlign w:val="superscript"/>
        </w:rPr>
        <w:t xml:space="preserve">7</w:t>
      </w:r>
      <w:r>
        <w:t xml:space="preserve"> </w:t>
      </w:r>
      <w:r>
        <w:t xml:space="preserve">ICD-10 colectomy: 0DTE4ZZ, 0DTE0ZZ, 0DTE7ZZ, 0DTE8ZZ; CPT: 44150,</w:t>
      </w:r>
      <w:r>
        <w:t xml:space="preserve"> </w:t>
      </w:r>
      <w:r>
        <w:t xml:space="preserve">44151, 44155, 44156, 44157, 44158, 44202, 44210, 44211, 44212; ICD-9: 45.81, 45.82, 45.83</w:t>
      </w:r>
    </w:p>
    <w:p>
      <w:pPr>
        <w:pStyle w:val="BodyText"/>
      </w:pPr>
      <w:r>
        <w:rPr>
          <w:vertAlign w:val="superscript"/>
        </w:rPr>
        <w:t xml:space="preserve">8</w:t>
      </w:r>
      <w:r>
        <w:t xml:space="preserve"> </w:t>
      </w:r>
      <w:r>
        <w:t xml:space="preserve">ICD-10: Z51.5, or consult code entry for completed</w:t>
      </w:r>
      <w:r>
        <w:t xml:space="preserve"> </w:t>
      </w:r>
      <w:r>
        <w:t xml:space="preserve">hospice/palliative care consult, or consult with primary stop code 351</w:t>
      </w:r>
      <w:r>
        <w:t xml:space="preserve"> </w:t>
      </w:r>
      <w:r>
        <w:t xml:space="preserve">or 353. ICD-9: V66.7</w:t>
      </w:r>
    </w:p>
    <w:p>
      <w:pPr>
        <w:pStyle w:val="BodyText"/>
      </w:pPr>
      <w:r>
        <w:rPr>
          <w:vertAlign w:val="superscript"/>
        </w:rPr>
        <w:t xml:space="preserve">9</w:t>
      </w:r>
      <w:r>
        <w:t xml:space="preserve"> </w:t>
      </w:r>
      <w:r>
        <w:t xml:space="preserve">ICD-10 pancreas: C25.0, C25.1, C25.2, C25.3, C25.4, C25.7, C25.8,</w:t>
      </w:r>
      <w:r>
        <w:t xml:space="preserve"> </w:t>
      </w:r>
      <w:r>
        <w:t xml:space="preserve">C25.9; ICD-9: 157.xx</w:t>
      </w:r>
    </w:p>
    <w:p>
      <w:pPr>
        <w:pStyle w:val="BodyText"/>
      </w:pPr>
      <w:r>
        <w:rPr>
          <w:vertAlign w:val="superscript"/>
        </w:rPr>
        <w:t xml:space="preserve">10</w:t>
      </w:r>
      <w:r>
        <w:t xml:space="preserve"> </w:t>
      </w:r>
      <w:r>
        <w:t xml:space="preserve">ICD-10 leukemia: C92.00, C92.4, C92.5, C92.60, C92.01, C92.41,</w:t>
      </w:r>
      <w:r>
        <w:t xml:space="preserve"> </w:t>
      </w:r>
      <w:r>
        <w:t xml:space="preserve">C92.51, C92.02, C92.42, C92.52, C93.00, C93.01, C93.02, C94.00,</w:t>
      </w:r>
      <w:r>
        <w:t xml:space="preserve"> </w:t>
      </w:r>
      <w:r>
        <w:t xml:space="preserve">C94.01, C94.02, C94.20, C94.21, C94.22, C95.00, C95.01, C95.02; ICD-9: 205.0, 206.0, 207.0, 207.2x, 208.0</w:t>
      </w:r>
    </w:p>
    <w:p>
      <w:pPr>
        <w:pStyle w:val="BodyText"/>
      </w:pPr>
      <w:r>
        <w:rPr>
          <w:vertAlign w:val="superscript"/>
        </w:rPr>
        <w:t xml:space="preserve">11</w:t>
      </w:r>
      <w:r>
        <w:t xml:space="preserve"> </w:t>
      </w:r>
      <w:r>
        <w:t xml:space="preserve">ICD-10 liver: C22.0, C22.2, C22.3, C22.4, C22.7, C22.8, C22.1,</w:t>
      </w:r>
      <w:r>
        <w:t xml:space="preserve"> </w:t>
      </w:r>
      <w:r>
        <w:t xml:space="preserve">C22.9, C78.7; ICD-9: 155.0, 155.1, 155.2, 197.7</w:t>
      </w:r>
    </w:p>
    <w:p>
      <w:pPr>
        <w:pStyle w:val="BodyText"/>
      </w:pPr>
      <w:r>
        <w:rPr>
          <w:vertAlign w:val="superscript"/>
        </w:rPr>
        <w:t xml:space="preserve">12</w:t>
      </w:r>
      <w:r>
        <w:t xml:space="preserve"> </w:t>
      </w:r>
      <w:r>
        <w:t xml:space="preserve">ICD-10 biliary: C23, C24, C24.1, C24.8, C24.9; ICD-9: 156.xx</w:t>
      </w:r>
    </w:p>
    <w:p>
      <w:pPr>
        <w:pStyle w:val="BodyText"/>
      </w:pPr>
      <w:r>
        <w:rPr>
          <w:vertAlign w:val="superscript"/>
        </w:rPr>
        <w:t xml:space="preserve">13</w:t>
      </w:r>
      <w:r>
        <w:t xml:space="preserve"> </w:t>
      </w:r>
      <w:r>
        <w:t xml:space="preserve">ICD-10 esophagus: C15.3, C15.4, C15.5, C15.8, C15.9; ICD-9: 150.xx</w:t>
      </w:r>
    </w:p>
    <w:p>
      <w:pPr>
        <w:pStyle w:val="BodyText"/>
      </w:pPr>
      <w:r>
        <w:rPr>
          <w:vertAlign w:val="superscript"/>
        </w:rPr>
        <w:t xml:space="preserve">14</w:t>
      </w:r>
      <w:r>
        <w:t xml:space="preserve"> </w:t>
      </w:r>
      <w:r>
        <w:t xml:space="preserve">ICD-10 gastric: C16.0, C16.1, C16.2, C16.3, C16.4, C16.5, C16.6,</w:t>
      </w:r>
      <w:r>
        <w:t xml:space="preserve"> </w:t>
      </w:r>
      <w:r>
        <w:t xml:space="preserve">C16.8, C16.9; ICD-9: 151.xx</w:t>
      </w:r>
    </w:p>
    <w:p>
      <w:pPr>
        <w:pStyle w:val="BodyText"/>
      </w:pPr>
      <w:r>
        <w:rPr>
          <w:vertAlign w:val="superscript"/>
        </w:rPr>
        <w:t xml:space="preserve">15</w:t>
      </w:r>
      <w:r>
        <w:t xml:space="preserve"> </w:t>
      </w:r>
      <w:r>
        <w:t xml:space="preserve">ICD-10 brain: C71.0, C71.1, C71.2, C71.3, C71.4, C71.5, C71.6,</w:t>
      </w:r>
      <w:r>
        <w:t xml:space="preserve"> </w:t>
      </w:r>
      <w:r>
        <w:t xml:space="preserve">C71.7, C71.8, C71.9, C79.31, C79.32, C79.49; ICD-9: 191.x, 198.3, 198.4</w:t>
      </w:r>
    </w:p>
    <w:p>
      <w:pPr>
        <w:pStyle w:val="BodyText"/>
      </w:pPr>
      <w:r>
        <w:rPr>
          <w:vertAlign w:val="superscript"/>
        </w:rPr>
        <w:t xml:space="preserve">16</w:t>
      </w:r>
      <w:r>
        <w:t xml:space="preserve"> </w:t>
      </w:r>
      <w:r>
        <w:t xml:space="preserve">ICD-10 uterus: C55; ICD-9: 179.xx</w:t>
      </w:r>
    </w:p>
    <w:p>
      <w:pPr>
        <w:pStyle w:val="BodyText"/>
      </w:pPr>
      <w:r>
        <w:rPr>
          <w:vertAlign w:val="superscript"/>
        </w:rPr>
        <w:t xml:space="preserve">17</w:t>
      </w:r>
      <w:r>
        <w:t xml:space="preserve"> </w:t>
      </w:r>
      <w:r>
        <w:t xml:space="preserve">ICD-10 ovary: C56.9, C56.1, C56.2; ICD-9: 183.0</w:t>
      </w:r>
    </w:p>
    <w:p>
      <w:pPr>
        <w:pStyle w:val="BodyText"/>
      </w:pPr>
      <w:r>
        <w:rPr>
          <w:vertAlign w:val="superscript"/>
        </w:rPr>
        <w:t xml:space="preserve">18</w:t>
      </w:r>
      <w:r>
        <w:t xml:space="preserve"> </w:t>
      </w:r>
      <w:r>
        <w:t xml:space="preserve">ICD-10 peritoneum: C48.1, C45.1, C48.8, C48.2, C78.6; ICD-9: 158.8, 158.9, 197.6</w:t>
      </w:r>
    </w:p>
    <w:p>
      <w:pPr>
        <w:pStyle w:val="BodyText"/>
      </w:pPr>
      <w:r>
        <w:rPr>
          <w:vertAlign w:val="superscript"/>
        </w:rPr>
        <w:t xml:space="preserve">19</w:t>
      </w:r>
      <w:r>
        <w:t xml:space="preserve"> </w:t>
      </w:r>
      <w:r>
        <w:t xml:space="preserve">ICD-10 myeloma: C90.00, C90.01, C90.02, D47.Z9; ICD-9: 203.0x, 238.6</w:t>
      </w:r>
    </w:p>
    <w:p>
      <w:pPr>
        <w:pStyle w:val="BodyText"/>
      </w:pPr>
      <w:r>
        <w:rPr>
          <w:vertAlign w:val="superscript"/>
        </w:rPr>
        <w:t xml:space="preserve">20</w:t>
      </w:r>
      <w:r>
        <w:t xml:space="preserve"> </w:t>
      </w:r>
      <w:r>
        <w:t xml:space="preserve">ICD-10 lung: C34.0 to C34.3, C34.8, C34.9, C78.00, C78.01, C78.02; ICD-9: 162.0, 162.2x, 162.3x, 162.4x, 162.5x, 162.8x, 162.9x,</w:t>
      </w:r>
      <w:r>
        <w:t xml:space="preserve"> </w:t>
      </w:r>
      <w:r>
        <w:t xml:space="preserve">163.xx, 197.0, 197.2, 197.3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value)</w:t>
      </w:r>
    </w:p>
    <w:p>
      <w:pPr>
        <w:pStyle w:val="BodyText"/>
      </w:pPr>
      <w:r>
        <w:rPr>
          <w:vertAlign w:val="superscript"/>
        </w:rPr>
        <w:t xml:space="preserve">21</w:t>
      </w:r>
      <w:r>
        <w:t xml:space="preserve"> </w:t>
      </w:r>
      <w:r>
        <w:t xml:space="preserve">ICD-10 hematemesis: K92.0, K22.11; ICD-9: 578.0</w:t>
      </w:r>
    </w:p>
    <w:p>
      <w:pPr>
        <w:pStyle w:val="BodyText"/>
      </w:pPr>
      <w:r>
        <w:rPr>
          <w:vertAlign w:val="superscript"/>
        </w:rPr>
        <w:t xml:space="preserve">22</w:t>
      </w:r>
      <w:r>
        <w:t xml:space="preserve"> </w:t>
      </w:r>
      <w:r>
        <w:t xml:space="preserve">ICD-10 ulcer: K25.0, K25.1, K25.2, K25.4, K25.6, K26.0, K26.2,</w:t>
      </w:r>
      <w:r>
        <w:t xml:space="preserve"> </w:t>
      </w:r>
      <w:r>
        <w:t xml:space="preserve">K26.4, K26.6, K27.0, K27.2, K27.4, K27.6, K28.0, K28.2, K28.4, K28.6,</w:t>
      </w:r>
      <w:r>
        <w:t xml:space="preserve"> </w:t>
      </w:r>
      <w:r>
        <w:t xml:space="preserve">I85.01, I85.11; ICD-9: 530.21, 531.0x, 531.2x, 531.4x, 531.6x, 532.0x, 532.2x,</w:t>
      </w:r>
      <w:r>
        <w:t xml:space="preserve"> </w:t>
      </w:r>
      <w:r>
        <w:t xml:space="preserve">532.4x, 532.6x, 533.0x, 533.2x, 533.4x, 533.6x, 534.0x, 534.2x,</w:t>
      </w:r>
      <w:r>
        <w:t xml:space="preserve"> </w:t>
      </w:r>
      <w:r>
        <w:t xml:space="preserve">534.4x, 534.6x</w:t>
      </w:r>
    </w:p>
    <w:p>
      <w:pPr>
        <w:pStyle w:val="BodyText"/>
      </w:pPr>
      <w:r>
        <w:rPr>
          <w:vertAlign w:val="superscript"/>
        </w:rPr>
        <w:t xml:space="preserve">23</w:t>
      </w:r>
      <w:r>
        <w:t xml:space="preserve"> </w:t>
      </w:r>
      <w:r>
        <w:t xml:space="preserve">CPT scope: 44387, 44388, 44389, 44391, 44392, 44394, 45378, 45379,</w:t>
      </w:r>
      <w:r>
        <w:t xml:space="preserve"> </w:t>
      </w:r>
      <w:r>
        <w:t xml:space="preserve">45380, 45381, 45382, 45383, 45384, 45385, 45386, 45387, 45355, 45391,</w:t>
      </w:r>
      <w:r>
        <w:t xml:space="preserve"> </w:t>
      </w:r>
      <w:r>
        <w:t xml:space="preserve">45392; ICD-10: 0DJD8ZZ</w:t>
      </w:r>
    </w:p>
    <w:p>
      <w:pPr>
        <w:pStyle w:val="BodyText"/>
      </w:pPr>
      <w:r>
        <w:rPr>
          <w:vertAlign w:val="superscript"/>
        </w:rPr>
        <w:t xml:space="preserve">24</w:t>
      </w:r>
      <w:r>
        <w:t xml:space="preserve"> </w:t>
      </w:r>
      <w:r>
        <w:t xml:space="preserve">ICD-10 menorrhagia: N92.0, N92.1, N92.4, N95.0; ICD-9: 626.2, 626.6, 627.0, 627.1</w:t>
      </w:r>
    </w:p>
    <w:p>
      <w:pPr>
        <w:pStyle w:val="BodyText"/>
      </w:pPr>
      <w:r>
        <w:rPr>
          <w:vertAlign w:val="superscript"/>
        </w:rPr>
        <w:t xml:space="preserve">25</w:t>
      </w:r>
      <w:r>
        <w:t xml:space="preserve"> </w:t>
      </w:r>
      <w:r>
        <w:t xml:space="preserve">ICD-10 hematuria: R31.9, R31.0, R31.1, R31.2; ICD-9: 599.7x</w:t>
      </w:r>
    </w:p>
    <w:p>
      <w:pPr>
        <w:pStyle w:val="BodyText"/>
      </w:pPr>
      <w:r>
        <w:rPr>
          <w:vertAlign w:val="superscript"/>
        </w:rPr>
        <w:t xml:space="preserve">26</w:t>
      </w:r>
      <w:r>
        <w:t xml:space="preserve"> </w:t>
      </w:r>
      <w:r>
        <w:t xml:space="preserve">ICD-10 epistaxis: R04.0; ICD-9: 784.7</w:t>
      </w:r>
    </w:p>
    <w:p>
      <w:pPr>
        <w:pStyle w:val="BodyText"/>
      </w:pPr>
      <w:r>
        <w:rPr>
          <w:vertAlign w:val="superscript"/>
        </w:rPr>
        <w:t xml:space="preserve">27</w:t>
      </w:r>
      <w:r>
        <w:t xml:space="preserve"> </w:t>
      </w:r>
      <w:r>
        <w:t xml:space="preserve">ICD-10 uterine: N89.8, N92.5, N93.8; ICD-9: 623.8, 626.8</w:t>
      </w:r>
    </w:p>
    <w:p>
      <w:pPr>
        <w:pStyle w:val="BodyText"/>
      </w:pPr>
      <w:r>
        <w:rPr>
          <w:vertAlign w:val="superscript"/>
        </w:rPr>
        <w:t xml:space="preserve">28</w:t>
      </w:r>
      <w:r>
        <w:t xml:space="preserve"> </w:t>
      </w:r>
      <w:r>
        <w:t xml:space="preserve">ICD-10 hemoptysis: R04.2, R04.9, R04.89; ICD-9: 786.3x</w:t>
      </w:r>
    </w:p>
    <w:p>
      <w:pPr>
        <w:pStyle w:val="BodyText"/>
      </w:pPr>
      <w:r>
        <w:rPr>
          <w:vertAlign w:val="superscript"/>
        </w:rPr>
        <w:t xml:space="preserve">29</w:t>
      </w:r>
      <w:r>
        <w:t xml:space="preserve"> </w:t>
      </w:r>
      <w:r>
        <w:t xml:space="preserve">ICD-10 secondary: T79.2XXA; ICD-9: 958.2</w:t>
      </w:r>
    </w:p>
    <w:p>
      <w:pPr>
        <w:pStyle w:val="BodyText"/>
      </w:pPr>
      <w:r>
        <w:rPr>
          <w:vertAlign w:val="superscript"/>
        </w:rPr>
        <w:t xml:space="preserve">30</w:t>
      </w:r>
      <w:r>
        <w:t xml:space="preserve"> </w:t>
      </w:r>
      <w:r>
        <w:t xml:space="preserve">ICD-10 pregnancy: Z34.00, Z34.80, Z34.90, Z33.1, O09.00, O09.10,</w:t>
      </w:r>
      <w:r>
        <w:t xml:space="preserve"> </w:t>
      </w:r>
      <w:r>
        <w:t xml:space="preserve">O09.291, O09.40, O09.211, O09.30, O09.511, O09.521, O09.611, O09.621,</w:t>
      </w:r>
      <w:r>
        <w:t xml:space="preserve"> </w:t>
      </w:r>
      <w:r>
        <w:t xml:space="preserve">O09.891, O09.892, O09.893, O09.899, O09.90, O09.91, O09.92, O09.93,</w:t>
      </w:r>
      <w:r>
        <w:t xml:space="preserve"> </w:t>
      </w:r>
      <w:r>
        <w:t xml:space="preserve">O00.0, O00.1, O00.2, O00.8, O00.9; ICD-9: 629.81, 631.0, 633.0, 633.01, 633.10, 633.2x, 633.8x,</w:t>
      </w:r>
      <w:r>
        <w:t xml:space="preserve"> </w:t>
      </w:r>
      <w:r>
        <w:t xml:space="preserve">633.9x, V22.0, V22.1, V22.2, V23.0, V23.1, V23.2, V23.3, V23.41,</w:t>
      </w:r>
      <w:r>
        <w:t xml:space="preserve"> </w:t>
      </w:r>
      <w:r>
        <w:t xml:space="preserve">V23.49, V23.5, V23.7, V23.81, V23.82, V23.83, V23.84, V23.89, V23.9</w:t>
      </w:r>
    </w:p>
    <w:p>
      <w:pPr>
        <w:pStyle w:val="BodyText"/>
      </w:pPr>
      <w:r>
        <w:rPr>
          <w:vertAlign w:val="superscript"/>
        </w:rPr>
        <w:t xml:space="preserve">31</w:t>
      </w:r>
      <w:r>
        <w:t xml:space="preserve"> </w:t>
      </w:r>
      <w:r>
        <w:t xml:space="preserve">ICD-10 thalassemia: D56.9, D57.40, D57.419, D56.0, D56.1, D56.2,</w:t>
      </w:r>
      <w:r>
        <w:t xml:space="preserve"> </w:t>
      </w:r>
      <w:r>
        <w:t xml:space="preserve">D56.3, D56.5, D56.8; ICD-9: 282.4x</w:t>
      </w:r>
    </w:p>
    <w:p>
      <w:pPr>
        <w:pStyle w:val="BodyText"/>
      </w:pPr>
      <w:r>
        <w:rPr>
          <w:vertAlign w:val="superscript"/>
        </w:rPr>
        <w:t xml:space="preserve">32</w:t>
      </w:r>
      <w:r>
        <w:t xml:space="preserve"> </w:t>
      </w:r>
      <w:r>
        <w:t xml:space="preserve">Based on VA clinic stop code 33, 307, 321, or clinical note title</w:t>
      </w:r>
      <w:r>
        <w:t xml:space="preserve"> </w:t>
      </w:r>
      <w:r>
        <w:t xml:space="preserve">entry for completed GI consult</w:t>
      </w:r>
    </w:p>
    <w:bookmarkEnd w:id="37"/>
    <w:bookmarkEnd w:id="38"/>
    <w:bookmarkStart w:id="42" w:name="appendix-lung-red-flag-criteria"/>
    <w:p>
      <w:pPr>
        <w:pStyle w:val="Heading1"/>
      </w:pPr>
      <w:r>
        <w:t xml:space="preserve">APPENDIX: Lung Red Flag Criteria</w:t>
      </w:r>
    </w:p>
    <w:p>
      <w:pPr>
        <w:numPr>
          <w:ilvl w:val="0"/>
          <w:numId w:val="1011"/>
        </w:numPr>
        <w:pStyle w:val="Compact"/>
      </w:pPr>
      <w:r>
        <w:t xml:space="preserve">Identify all patient records with abnormal chest X-Ray or CT result</w:t>
      </w:r>
      <w:r>
        <w:t xml:space="preserve"> </w:t>
      </w:r>
      <w:r>
        <w:t xml:space="preserve">flagged by radiologist as</w:t>
      </w:r>
      <w:r>
        <w:t xml:space="preserve"> </w:t>
      </w:r>
      <w:r>
        <w:t xml:space="preserve">“</w:t>
      </w:r>
      <w:r>
        <w:t xml:space="preserve">suspicious for malignancy</w:t>
      </w:r>
      <w:r>
        <w:t xml:space="preserve">”</w:t>
      </w:r>
      <w:r>
        <w:t xml:space="preserve"> </w:t>
      </w:r>
      <w:r>
        <w:rPr>
          <w:vertAlign w:val="superscript"/>
        </w:rPr>
        <w:t xml:space="preserve">1</w:t>
      </w:r>
    </w:p>
    <w:bookmarkStart w:id="39" w:name="clinical-exclusion-criteria-1"/>
    <w:p>
      <w:pPr>
        <w:pStyle w:val="Heading2"/>
      </w:pPr>
      <w:r>
        <w:t xml:space="preserve">Clinical Exclusion Criteria</w:t>
      </w:r>
    </w:p>
    <w:p>
      <w:pPr>
        <w:numPr>
          <w:ilvl w:val="0"/>
          <w:numId w:val="1012"/>
        </w:numPr>
      </w:pPr>
      <w:r>
        <w:t xml:space="preserve">Then exclude patients &lt; 18 years old on imaging result date</w:t>
      </w:r>
    </w:p>
    <w:p>
      <w:pPr>
        <w:numPr>
          <w:ilvl w:val="0"/>
          <w:numId w:val="1012"/>
        </w:numPr>
      </w:pPr>
      <w:r>
        <w:t xml:space="preserve">Then exclude patients listed as deceased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30 days</w:t>
      </w:r>
      <w:r>
        <w:rPr>
          <w:bCs/>
          <w:b/>
        </w:rP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active lung cancer diagnosis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tuberculosis diagnosis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</w:t>
      </w:r>
      <w:r>
        <w:rPr>
          <w:bCs/>
          <w:b/>
        </w:rPr>
        <w:t xml:space="preserve"> </w:t>
      </w:r>
      <w:r>
        <w:rPr>
          <w:bCs/>
          <w:b/>
        </w:rPr>
        <w:t xml:space="preserve">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enrolled in hospice or palliative care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2"/>
        </w:numPr>
      </w:pPr>
      <w:r>
        <w:t xml:space="preserve">Then exclude patients with a diagnosis of pancreatic cancer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leukemia (except acute lymphocytic)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liver cancer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biliary cancer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esophageal cancer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gastric cancer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brain cancer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uterine cancer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ovarian cancer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peritoneal, omental, or mesenteric cancer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myeloma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tracheal cancer diagnosis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t xml:space="preserve">within</w:t>
      </w:r>
      <w:r>
        <w:t xml:space="preserve"> </w:t>
      </w:r>
      <w:r>
        <w:rPr>
          <w:bCs/>
          <w:b/>
        </w:rPr>
        <w:t xml:space="preserve">1 year prior to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30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imaging result date</w:t>
      </w:r>
    </w:p>
    <w:bookmarkEnd w:id="39"/>
    <w:bookmarkStart w:id="40" w:name="expected-follow-up-criteria-1"/>
    <w:p>
      <w:pPr>
        <w:pStyle w:val="Heading2"/>
      </w:pPr>
      <w:r>
        <w:t xml:space="preserve">Expected Follow-up Criteria</w:t>
      </w:r>
    </w:p>
    <w:p>
      <w:pPr>
        <w:numPr>
          <w:ilvl w:val="0"/>
          <w:numId w:val="1013"/>
        </w:numPr>
      </w:pPr>
      <w:r>
        <w:t xml:space="preserve">Then exclude patients with a repeated chest x-ray or CT</w:t>
      </w:r>
      <w:r>
        <w:t xml:space="preserve"> </w:t>
      </w:r>
      <w:r>
        <w:rPr>
          <w:vertAlign w:val="superscript"/>
        </w:rPr>
        <w:t xml:space="preserve">1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PET scan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rPr>
          <w:bCs/>
          <w:b/>
        </w:rPr>
        <w:t xml:space="preserve">within 30</w:t>
      </w:r>
      <w:r>
        <w:rPr>
          <w:bCs/>
          <w:b/>
        </w:rPr>
        <w:t xml:space="preserve"> </w:t>
      </w:r>
      <w:r>
        <w:rPr>
          <w:bCs/>
          <w:b/>
        </w:rPr>
        <w:t xml:space="preserve">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repeated pulmonary visit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thoracic surgery visit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completed multidisciplinary tumor</w:t>
      </w:r>
      <w:r>
        <w:t xml:space="preserve"> </w:t>
      </w:r>
      <w:r>
        <w:t xml:space="preserve">board conference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rPr>
          <w:bCs/>
          <w:b/>
        </w:rPr>
        <w:t xml:space="preserve">within 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lung biopsy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bronchoscopy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p>
      <w:pPr>
        <w:numPr>
          <w:ilvl w:val="0"/>
          <w:numId w:val="1013"/>
        </w:numPr>
      </w:pPr>
      <w:r>
        <w:t xml:space="preserve">Then exclude patients with a lung surgery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within</w:t>
      </w:r>
      <w:r>
        <w:rPr>
          <w:bCs/>
          <w:b/>
        </w:rPr>
        <w:t xml:space="preserve"> </w:t>
      </w:r>
      <w:r>
        <w:rPr>
          <w:bCs/>
          <w:b/>
        </w:rPr>
        <w:t xml:space="preserve">30 days after</w:t>
      </w:r>
      <w:r>
        <w:t xml:space="preserve"> </w:t>
      </w:r>
      <w:r>
        <w:t xml:space="preserve">imaging result date</w:t>
      </w:r>
    </w:p>
    <w:bookmarkEnd w:id="40"/>
    <w:bookmarkStart w:id="41" w:name="footnotes-lung"/>
    <w:p>
      <w:pPr>
        <w:pStyle w:val="Heading2"/>
      </w:pPr>
      <w:r>
        <w:t xml:space="preserve">Footnotes (lung)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CPT: X-Ray (71010, 71015, 71020, 71021, 71022, 71030, 71035,</w:t>
      </w:r>
      <w:r>
        <w:t xml:space="preserve"> </w:t>
      </w:r>
      <w:r>
        <w:t xml:space="preserve">71101, 71111); CT (71275, 71250, 71270, 71260)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Based on status in mortality table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ICD-10 lung: C34.00, C34.01, C34.02, C34.10, C34.11, C34.12,</w:t>
      </w:r>
      <w:r>
        <w:t xml:space="preserve"> </w:t>
      </w:r>
      <w:r>
        <w:t xml:space="preserve">C34.2, C34.30, C34.31, C34.32, C34.80, C34.81, C34.82, C34.90, C34.91,</w:t>
      </w:r>
      <w:r>
        <w:t xml:space="preserve"> </w:t>
      </w:r>
      <w:r>
        <w:t xml:space="preserve">C34.92, C78.00, C78.01, C78.02, C38.4, C45.0, C78.2; ICD-9: 162.2x, 162.3x, 162.4x, 162.5x, 162.8x, 162.9x, 197.0,</w:t>
      </w:r>
      <w:r>
        <w:t xml:space="preserve"> </w:t>
      </w:r>
      <w:r>
        <w:t xml:space="preserve">163.xx, 197.2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value)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ICD-10 tuberculosis: A15.0, A15.5, A15.6, A15.7; ICD-9: 010.0x, 010.1x, 010.8x, 010.9x, 011.0x, 011.1x, 011.2x,</w:t>
      </w:r>
      <w:r>
        <w:t xml:space="preserve"> </w:t>
      </w:r>
      <w:r>
        <w:t xml:space="preserve">011.3x, 011.4x, 011.5x, 011.6x, 011.7x, 011.8x, 011.9x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any value between 1 and 6)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ICD-10: Z51.5, or consult code entry for completed</w:t>
      </w:r>
      <w:r>
        <w:t xml:space="preserve"> </w:t>
      </w:r>
      <w:r>
        <w:t xml:space="preserve">hospice/palliative care consult, or consult with primary stop code 351</w:t>
      </w:r>
      <w:r>
        <w:t xml:space="preserve"> </w:t>
      </w:r>
      <w:r>
        <w:t xml:space="preserve">or 353. ICD-9: V66.7</w:t>
      </w:r>
    </w:p>
    <w:p>
      <w:pPr>
        <w:pStyle w:val="BodyText"/>
      </w:pPr>
      <w:r>
        <w:rPr>
          <w:vertAlign w:val="superscript"/>
        </w:rPr>
        <w:t xml:space="preserve">6</w:t>
      </w:r>
      <w:r>
        <w:t xml:space="preserve"> </w:t>
      </w:r>
      <w:r>
        <w:t xml:space="preserve">ICD-10 pancreatic: C25.0, C25.1, C25.2, C25.3, C25.4, C25.7,</w:t>
      </w:r>
      <w:r>
        <w:t xml:space="preserve"> </w:t>
      </w:r>
      <w:r>
        <w:t xml:space="preserve">C25.8, C25.9; ICD-9: 157.xx</w:t>
      </w:r>
    </w:p>
    <w:p>
      <w:pPr>
        <w:pStyle w:val="BodyText"/>
      </w:pPr>
      <w:r>
        <w:rPr>
          <w:vertAlign w:val="superscript"/>
        </w:rPr>
        <w:t xml:space="preserve">7</w:t>
      </w:r>
      <w:r>
        <w:t xml:space="preserve"> </w:t>
      </w:r>
      <w:r>
        <w:t xml:space="preserve">ICD-10 leukemia: C92.00, C92.4, C92.5, C92.60, C92.01, C92.41,</w:t>
      </w:r>
      <w:r>
        <w:t xml:space="preserve"> </w:t>
      </w:r>
      <w:r>
        <w:t xml:space="preserve">C92.51, C92.02, C92.42, C92.52, C93.00, C93.01, C93.02, C94.00,</w:t>
      </w:r>
      <w:r>
        <w:t xml:space="preserve"> </w:t>
      </w:r>
      <w:r>
        <w:t xml:space="preserve">C94.01, C94.02, C94.20, C94.21, C94.22, C95.00, C95.01, C95.02; ICD-9: 205.0, 206.0, 207.0, 207.2x, or 208.0</w:t>
      </w:r>
    </w:p>
    <w:p>
      <w:pPr>
        <w:pStyle w:val="BodyText"/>
      </w:pPr>
      <w:r>
        <w:rPr>
          <w:vertAlign w:val="superscript"/>
        </w:rPr>
        <w:t xml:space="preserve">8</w:t>
      </w:r>
      <w:r>
        <w:t xml:space="preserve"> </w:t>
      </w:r>
      <w:r>
        <w:t xml:space="preserve">ICD-10 liver: C22.0, C22.2, C22.3, C22.4, C22.7, C22.8, C22.1,</w:t>
      </w:r>
      <w:r>
        <w:t xml:space="preserve"> </w:t>
      </w:r>
      <w:r>
        <w:t xml:space="preserve">C22.9, C78.7; ICD-9: 155.0, 155.1, 155.2, or 197.7</w:t>
      </w:r>
    </w:p>
    <w:p>
      <w:pPr>
        <w:pStyle w:val="BodyText"/>
      </w:pPr>
      <w:r>
        <w:rPr>
          <w:vertAlign w:val="superscript"/>
        </w:rPr>
        <w:t xml:space="preserve">9</w:t>
      </w:r>
      <w:r>
        <w:t xml:space="preserve"> </w:t>
      </w:r>
      <w:r>
        <w:t xml:space="preserve">ICD-10 biliary: C23, C24, C24.1, C24.8, C24.9; ICD-9: 156.xx</w:t>
      </w:r>
    </w:p>
    <w:p>
      <w:pPr>
        <w:pStyle w:val="BodyText"/>
      </w:pPr>
      <w:r>
        <w:rPr>
          <w:vertAlign w:val="superscript"/>
        </w:rPr>
        <w:t xml:space="preserve">10</w:t>
      </w:r>
      <w:r>
        <w:t xml:space="preserve"> </w:t>
      </w:r>
      <w:r>
        <w:t xml:space="preserve">ICD-10 esophageal: C15.3, C15.4, C15.5, C15.8, C15.9; ICD-9: 150.xx</w:t>
      </w:r>
    </w:p>
    <w:p>
      <w:pPr>
        <w:pStyle w:val="BodyText"/>
      </w:pPr>
      <w:r>
        <w:rPr>
          <w:vertAlign w:val="superscript"/>
        </w:rPr>
        <w:t xml:space="preserve">11</w:t>
      </w:r>
      <w:r>
        <w:t xml:space="preserve"> </w:t>
      </w:r>
      <w:r>
        <w:t xml:space="preserve">ICD-10 gastric: C16.0, C16.1, C16.2, C16.3, C16.4, C16.5, C16.6,</w:t>
      </w:r>
      <w:r>
        <w:t xml:space="preserve"> </w:t>
      </w:r>
      <w:r>
        <w:t xml:space="preserve">C16.8, C16.9; ICD-9: 151.xx</w:t>
      </w:r>
    </w:p>
    <w:p>
      <w:pPr>
        <w:pStyle w:val="BodyText"/>
      </w:pPr>
      <w:r>
        <w:rPr>
          <w:vertAlign w:val="superscript"/>
        </w:rPr>
        <w:t xml:space="preserve">12</w:t>
      </w:r>
      <w:r>
        <w:t xml:space="preserve"> </w:t>
      </w:r>
      <w:r>
        <w:t xml:space="preserve">ICD-10 brain: C71.0, C71.1, C71.2, C71.3, C71.4, C71.5, C71.6,</w:t>
      </w:r>
      <w:r>
        <w:t xml:space="preserve"> </w:t>
      </w:r>
      <w:r>
        <w:t xml:space="preserve">C71.7, C71.8, C71.9, C79.31, C79.32, C79.49; ICD-9: 191.x, 198.3, or 198.4</w:t>
      </w:r>
    </w:p>
    <w:p>
      <w:pPr>
        <w:pStyle w:val="BodyText"/>
      </w:pPr>
      <w:r>
        <w:rPr>
          <w:vertAlign w:val="superscript"/>
        </w:rPr>
        <w:t xml:space="preserve">13</w:t>
      </w:r>
      <w:r>
        <w:t xml:space="preserve"> </w:t>
      </w:r>
      <w:r>
        <w:t xml:space="preserve">ICD-10 uterine: C55; ICD-9: 179.xx</w:t>
      </w:r>
    </w:p>
    <w:p>
      <w:pPr>
        <w:pStyle w:val="BodyText"/>
      </w:pPr>
      <w:r>
        <w:rPr>
          <w:vertAlign w:val="superscript"/>
        </w:rPr>
        <w:t xml:space="preserve">14</w:t>
      </w:r>
      <w:r>
        <w:t xml:space="preserve"> </w:t>
      </w:r>
      <w:r>
        <w:t xml:space="preserve">ICD-10 ovarian: C56.9, C56.1, C56.2; ICD-9: 183.0</w:t>
      </w:r>
    </w:p>
    <w:p>
      <w:pPr>
        <w:pStyle w:val="BodyText"/>
      </w:pPr>
      <w:r>
        <w:rPr>
          <w:vertAlign w:val="superscript"/>
        </w:rPr>
        <w:t xml:space="preserve">15</w:t>
      </w:r>
      <w:r>
        <w:t xml:space="preserve"> </w:t>
      </w:r>
      <w:r>
        <w:t xml:space="preserve">ICD-10 peritoneal: C48.1, C45.1, C48.8, C48.2, C78.6; ICD-9: 158.8, 158.9, or 197.6</w:t>
      </w:r>
    </w:p>
    <w:p>
      <w:pPr>
        <w:pStyle w:val="BodyText"/>
      </w:pPr>
      <w:r>
        <w:rPr>
          <w:vertAlign w:val="superscript"/>
        </w:rPr>
        <w:t xml:space="preserve">16</w:t>
      </w:r>
      <w:r>
        <w:t xml:space="preserve"> </w:t>
      </w:r>
      <w:r>
        <w:t xml:space="preserve">ICD-10 myeloma: C90.00, C90.01, C90.02, D47.Z9; ICD-9: 203.0x, or 238.6</w:t>
      </w:r>
    </w:p>
    <w:p>
      <w:pPr>
        <w:pStyle w:val="BodyText"/>
      </w:pPr>
      <w:r>
        <w:rPr>
          <w:vertAlign w:val="superscript"/>
        </w:rPr>
        <w:t xml:space="preserve">17</w:t>
      </w:r>
      <w:r>
        <w:t xml:space="preserve"> </w:t>
      </w:r>
      <w:r>
        <w:t xml:space="preserve">ICD-10 tracheal: C33, C78.39; ICD-9: 162.0, 197.3</w:t>
      </w:r>
    </w:p>
    <w:p>
      <w:pPr>
        <w:pStyle w:val="BodyText"/>
      </w:pPr>
      <w:r>
        <w:rPr>
          <w:vertAlign w:val="superscript"/>
        </w:rPr>
        <w:t xml:space="preserve">18</w:t>
      </w:r>
      <w:r>
        <w:t xml:space="preserve"> </w:t>
      </w:r>
      <w:r>
        <w:t xml:space="preserve">CPT: 78811, 78812, 78813, 78814, 78815, 78816, 78810, G0125,</w:t>
      </w:r>
      <w:r>
        <w:t xml:space="preserve"> </w:t>
      </w:r>
      <w:r>
        <w:t xml:space="preserve">G0126, G0210, G0211, G0212, G0213;</w:t>
      </w:r>
    </w:p>
    <w:p>
      <w:pPr>
        <w:pStyle w:val="BodyText"/>
      </w:pPr>
      <w:r>
        <w:rPr>
          <w:vertAlign w:val="superscript"/>
        </w:rPr>
        <w:t xml:space="preserve">19</w:t>
      </w:r>
      <w:r>
        <w:t xml:space="preserve"> </w:t>
      </w:r>
      <w:r>
        <w:t xml:space="preserve">Based on VA clinic stop code 312, 104, or clinical note title</w:t>
      </w:r>
      <w:r>
        <w:t xml:space="preserve"> </w:t>
      </w:r>
      <w:r>
        <w:t xml:space="preserve">entry for a completed pulmonary consult</w:t>
      </w:r>
    </w:p>
    <w:p>
      <w:pPr>
        <w:pStyle w:val="BodyText"/>
      </w:pPr>
      <w:r>
        <w:rPr>
          <w:vertAlign w:val="superscript"/>
        </w:rPr>
        <w:t xml:space="preserve">20</w:t>
      </w:r>
      <w:r>
        <w:t xml:space="preserve"> </w:t>
      </w:r>
      <w:r>
        <w:t xml:space="preserve">Based on VA clinic stop code 413, 64, or clinical note title</w:t>
      </w:r>
      <w:r>
        <w:t xml:space="preserve"> </w:t>
      </w:r>
      <w:r>
        <w:t xml:space="preserve">entry for a completed thoracic surgery consult</w:t>
      </w:r>
    </w:p>
    <w:p>
      <w:pPr>
        <w:pStyle w:val="BodyText"/>
      </w:pPr>
      <w:r>
        <w:rPr>
          <w:vertAlign w:val="superscript"/>
        </w:rPr>
        <w:t xml:space="preserve">21</w:t>
      </w:r>
      <w:r>
        <w:t xml:space="preserve"> </w:t>
      </w:r>
      <w:r>
        <w:t xml:space="preserve">Based on VA clinic stop code 316, or clinical note title entry</w:t>
      </w:r>
      <w:r>
        <w:t xml:space="preserve"> </w:t>
      </w:r>
      <w:r>
        <w:t xml:space="preserve">for a completed tumor board conference consult</w:t>
      </w:r>
    </w:p>
    <w:p>
      <w:pPr>
        <w:pStyle w:val="BodyText"/>
      </w:pPr>
      <w:r>
        <w:rPr>
          <w:vertAlign w:val="superscript"/>
        </w:rPr>
        <w:t xml:space="preserve">22</w:t>
      </w:r>
      <w:r>
        <w:t xml:space="preserve"> </w:t>
      </w:r>
      <w:r>
        <w:rPr>
          <w:bCs/>
          <w:b/>
        </w:rPr>
        <w:t xml:space="preserve">CPT biopsy:</w:t>
      </w:r>
      <w:r>
        <w:t xml:space="preserve"> </w:t>
      </w:r>
      <w:r>
        <w:t xml:space="preserve">3162x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5 and 9),</w:t>
      </w:r>
      <w:r>
        <w:t xml:space="preserve"> </w:t>
      </w:r>
      <w:r>
        <w:t xml:space="preserve">31633, 31640, 31717, 32400, 32402, 32405, 32098, 32601, 32607, 32608,</w:t>
      </w:r>
      <w:r>
        <w:t xml:space="preserve"> </w:t>
      </w:r>
      <w:r>
        <w:t xml:space="preserve">32609.</w:t>
      </w:r>
      <w:r>
        <w:t xml:space="preserve"> </w:t>
      </w:r>
      <w:r>
        <w:rPr>
          <w:bCs/>
          <w:b/>
        </w:rPr>
        <w:t xml:space="preserve">ICD-10 lung biopsy:</w:t>
      </w:r>
      <w:r>
        <w:t xml:space="preserve"> </w:t>
      </w:r>
      <w:r>
        <w:t xml:space="preserve">0B9C3ZX, 0B9C4ZX, 0B9C7ZX, 0B9D3ZX,</w:t>
      </w:r>
      <w:r>
        <w:t xml:space="preserve"> </w:t>
      </w:r>
      <w:r>
        <w:t xml:space="preserve">0B9D4ZX, 0B9D7ZX, 0B9F3ZX, 0B9F4ZX, 0B9F7ZX, 0B9G3ZX, 0B9G4ZX,</w:t>
      </w:r>
      <w:r>
        <w:t xml:space="preserve"> </w:t>
      </w:r>
      <w:r>
        <w:t xml:space="preserve">0B9G7ZX, 0B9H3ZX, 0B9H4ZX, 0B9H7ZX, 0B9J3ZX, 0B9J4ZX, 0B9J7ZX,</w:t>
      </w:r>
      <w:r>
        <w:t xml:space="preserve"> </w:t>
      </w:r>
      <w:r>
        <w:t xml:space="preserve">0B9K3ZX, 0B9K4ZX, 0B9K7ZX, 0B9L3ZX, 0B9L4ZX, 0B9L7ZX, 0B9M3ZX,</w:t>
      </w:r>
      <w:r>
        <w:t xml:space="preserve"> </w:t>
      </w:r>
      <w:r>
        <w:t xml:space="preserve">0B9M4ZX, 0B9M7ZX, 0BBC3ZX, 0BBD3ZX, 0BBF3ZX, 0BBG3ZX, 0BBH3ZX,</w:t>
      </w:r>
      <w:r>
        <w:t xml:space="preserve"> </w:t>
      </w:r>
      <w:r>
        <w:t xml:space="preserve">0BBJ3ZX, 0BBK3ZX, 0BBL3ZX, 0BBM3ZX, 0B9K8ZX, 0B9L8ZX, 0B9M8ZX,</w:t>
      </w:r>
      <w:r>
        <w:t xml:space="preserve"> </w:t>
      </w:r>
      <w:r>
        <w:t xml:space="preserve">0BBK7ZX, 0BBK8ZX, 0BBL7ZX, 0BBL8ZX, 0BBM4ZX, 0BBM7ZX, 0BBM8ZX,</w:t>
      </w:r>
      <w:r>
        <w:t xml:space="preserve"> </w:t>
      </w:r>
      <w:r>
        <w:t xml:space="preserve">0B9K0ZX, 0B9L0ZX, 0B9M0ZX, 0BBK0ZX, 0BBL0ZX, 0BBM0ZX.</w:t>
      </w:r>
      <w:r>
        <w:t xml:space="preserve"> </w:t>
      </w:r>
      <w:r>
        <w:rPr>
          <w:bCs/>
          <w:b/>
        </w:rPr>
        <w:t xml:space="preserve">ICD-10</w:t>
      </w:r>
      <w:r>
        <w:rPr>
          <w:bCs/>
          <w:b/>
        </w:rPr>
        <w:t xml:space="preserve"> </w:t>
      </w:r>
      <w:r>
        <w:rPr>
          <w:bCs/>
          <w:b/>
        </w:rPr>
        <w:t xml:space="preserve">bronchus biopsy:</w:t>
      </w:r>
      <w:r>
        <w:t xml:space="preserve"> </w:t>
      </w:r>
      <w:r>
        <w:t xml:space="preserve">0B933ZX, 0B934ZX, 0B937ZX, 0B938ZX, 0B943ZX,</w:t>
      </w:r>
      <w:r>
        <w:t xml:space="preserve"> </w:t>
      </w:r>
      <w:r>
        <w:t xml:space="preserve">0B944ZX, 0B947ZX, 0B948ZX, 0B953ZX, 0B954ZX, 0B957ZX, 0B958ZX,</w:t>
      </w:r>
      <w:r>
        <w:t xml:space="preserve"> </w:t>
      </w:r>
      <w:r>
        <w:t xml:space="preserve">0B963ZX, 0B964ZX, 0B967ZX, 0B968ZX, 0B973ZX, 0B974ZX, 0B977ZX,</w:t>
      </w:r>
      <w:r>
        <w:t xml:space="preserve"> </w:t>
      </w:r>
      <w:r>
        <w:t xml:space="preserve">0B978ZX, 0B983ZX, 0B984ZX, 0B987ZX, 0B988ZX, 0B993ZX, 0B994ZX,</w:t>
      </w:r>
      <w:r>
        <w:t xml:space="preserve"> </w:t>
      </w:r>
      <w:r>
        <w:t xml:space="preserve">0B997ZX, 0B998ZX, 0B9B3ZX, 0B9B4ZX, 0B9B7ZX, 0B9B8ZX, 0BB33ZX,</w:t>
      </w:r>
      <w:r>
        <w:t xml:space="preserve"> </w:t>
      </w:r>
      <w:r>
        <w:t xml:space="preserve">0BB34ZX, 0BB37ZX, 0BB38ZX, 0BB43ZX, 0BB44ZX, 0BB47ZX, 0BB48ZX,</w:t>
      </w:r>
      <w:r>
        <w:t xml:space="preserve"> </w:t>
      </w:r>
      <w:r>
        <w:t xml:space="preserve">0BB53ZX, 0BB54ZX, 0BB57ZX, 0BB58ZX, 0BB63ZX, 0BB64ZX, 0BB67ZX,</w:t>
      </w:r>
      <w:r>
        <w:t xml:space="preserve"> </w:t>
      </w:r>
      <w:r>
        <w:t xml:space="preserve">0BB68ZX, 0BB73ZX, 0BB74ZX, 0BB77ZX, 0BB78ZX, 0BB83ZX, 0BB84ZX,</w:t>
      </w:r>
      <w:r>
        <w:t xml:space="preserve"> </w:t>
      </w:r>
      <w:r>
        <w:t xml:space="preserve">0BB87ZX, 0BB88ZX, 0BB93ZX, 0BB94ZX, 0BB97ZX, 0BB98ZX, 0BBB3ZX,</w:t>
      </w:r>
      <w:r>
        <w:t xml:space="preserve"> </w:t>
      </w:r>
      <w:r>
        <w:t xml:space="preserve">0BBB4ZX, 0BBB7ZX, 0BBB8ZX, 0B930ZX, 0B940ZX, 0B950ZX, 0B960ZX,</w:t>
      </w:r>
      <w:r>
        <w:t xml:space="preserve"> </w:t>
      </w:r>
      <w:r>
        <w:t xml:space="preserve">0B970ZX, 0B980ZX, 0B990ZX, 0B9B0ZX, 0BB30ZX, 0BB40ZX, 0BB50ZX,</w:t>
      </w:r>
      <w:r>
        <w:t xml:space="preserve"> </w:t>
      </w:r>
      <w:r>
        <w:t xml:space="preserve">0BB60ZX, 0BB70ZX, 0BB80ZX, 0BB90ZX, 0BBB0ZX.</w:t>
      </w:r>
      <w:r>
        <w:t xml:space="preserve"> </w:t>
      </w:r>
      <w:r>
        <w:rPr>
          <w:bCs/>
          <w:b/>
        </w:rPr>
        <w:t xml:space="preserve">ICD-10 pleural</w:t>
      </w:r>
      <w:r>
        <w:rPr>
          <w:bCs/>
          <w:b/>
        </w:rPr>
        <w:t xml:space="preserve"> </w:t>
      </w:r>
      <w:r>
        <w:rPr>
          <w:bCs/>
          <w:b/>
        </w:rPr>
        <w:t xml:space="preserve">biopsy:</w:t>
      </w:r>
      <w:r>
        <w:t xml:space="preserve"> </w:t>
      </w:r>
      <w:r>
        <w:t xml:space="preserve">0BBC4ZX, 0BBD4ZX, 0BBF4ZX, 0BBG4ZX, 0BBH4ZX, 0BBJ4ZX,</w:t>
      </w:r>
      <w:r>
        <w:t xml:space="preserve"> </w:t>
      </w:r>
      <w:r>
        <w:t xml:space="preserve">0BBK4ZX, 0BBL4ZX, 0B9N0ZX, 0B9N3ZX, 0B9N4ZX, 0B9P0ZX, 0B9P3ZX,</w:t>
      </w:r>
      <w:r>
        <w:t xml:space="preserve"> </w:t>
      </w:r>
      <w:r>
        <w:t xml:space="preserve">0B9P4ZX, 0BBN0ZX, 0BBN3ZX, 0BBP0ZX, 0BBP3ZX, 0W990ZX, 0W993ZX,</w:t>
      </w:r>
      <w:r>
        <w:t xml:space="preserve"> </w:t>
      </w:r>
      <w:r>
        <w:t xml:space="preserve">0W994ZX, 0W9B0ZX, 0W9B3ZX, 0W9B4ZX.</w:t>
      </w:r>
      <w:r>
        <w:t xml:space="preserve"> </w:t>
      </w:r>
      <w:r>
        <w:rPr>
          <w:bCs/>
          <w:b/>
        </w:rPr>
        <w:t xml:space="preserve">ICD-10 chest biopsy:</w:t>
      </w:r>
      <w:r>
        <w:t xml:space="preserve"> </w:t>
      </w:r>
      <w:r>
        <w:t xml:space="preserve">0W980ZX,</w:t>
      </w:r>
      <w:r>
        <w:t xml:space="preserve"> </w:t>
      </w:r>
      <w:r>
        <w:t xml:space="preserve">0W983ZX, 0W984ZX, 0WB80ZX, 0WB83ZX, 0WB84ZX, 0WB8XZX.</w:t>
      </w:r>
      <w:r>
        <w:t xml:space="preserve"> </w:t>
      </w:r>
      <w:r>
        <w:rPr>
          <w:bCs/>
          <w:b/>
        </w:rPr>
        <w:t xml:space="preserve">ICD-10</w:t>
      </w:r>
      <w:r>
        <w:rPr>
          <w:bCs/>
          <w:b/>
        </w:rPr>
        <w:t xml:space="preserve"> </w:t>
      </w:r>
      <w:r>
        <w:rPr>
          <w:bCs/>
          <w:b/>
        </w:rPr>
        <w:t xml:space="preserve">mediastinum biopsy:</w:t>
      </w:r>
      <w:r>
        <w:t xml:space="preserve"> </w:t>
      </w:r>
      <w:r>
        <w:t xml:space="preserve">0W9C3ZX, 0W9C4ZX, 0WBC3ZX, 0WBC4ZX.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33.24, 33.25, 33.26, 33.27, 33.28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4</w:t>
      </w:r>
      <w:r>
        <w:t xml:space="preserve"> </w:t>
      </w:r>
      <w:r>
        <w:t xml:space="preserve">and 8), 34.20, 34.23, 34.24, 34.25.</w:t>
      </w:r>
    </w:p>
    <w:p>
      <w:pPr>
        <w:pStyle w:val="BodyText"/>
      </w:pPr>
      <w:r>
        <w:rPr>
          <w:vertAlign w:val="superscript"/>
        </w:rPr>
        <w:t xml:space="preserve">23</w:t>
      </w:r>
      <w:r>
        <w:t xml:space="preserve"> </w:t>
      </w:r>
      <w:r>
        <w:rPr>
          <w:bCs/>
          <w:b/>
        </w:rPr>
        <w:t xml:space="preserve">CPT bronchoscopy:</w:t>
      </w:r>
      <w:r>
        <w:t xml:space="preserve"> </w:t>
      </w:r>
      <w:r>
        <w:t xml:space="preserve">3162x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1 and</w:t>
      </w:r>
      <w:r>
        <w:t xml:space="preserve"> </w:t>
      </w:r>
      <w:r>
        <w:t xml:space="preserve">4), 3163x (where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any value between 0 and 8), 31641, 31643,</w:t>
      </w:r>
      <w:r>
        <w:t xml:space="preserve"> </w:t>
      </w:r>
      <w:r>
        <w:t xml:space="preserve">31645, 31646, 31647, 31648, 31649, 31650, 31651, 31656, 31659, 31660,</w:t>
      </w:r>
      <w:r>
        <w:t xml:space="preserve"> </w:t>
      </w:r>
      <w:r>
        <w:t xml:space="preserve">31661, 31725, 32035.</w:t>
      </w:r>
      <w:r>
        <w:t xml:space="preserve"> </w:t>
      </w:r>
      <w:r>
        <w:rPr>
          <w:bCs/>
          <w:b/>
        </w:rPr>
        <w:t xml:space="preserve">ICD-10:</w:t>
      </w:r>
      <w:r>
        <w:t xml:space="preserve"> </w:t>
      </w:r>
      <w:r>
        <w:t xml:space="preserve">0BBN4ZX, 0BBP4ZX, 0BJ08ZZ, 0WJQ4ZZ,</w:t>
      </w:r>
      <w:r>
        <w:t xml:space="preserve"> </w:t>
      </w:r>
      <w:r>
        <w:t xml:space="preserve">0WJC4ZZ, 0BJ08ZZ, 0BJK8ZZ, 0BJL8ZZ.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33.20, 33.21, 33.22, 33.23.</w:t>
      </w:r>
    </w:p>
    <w:p>
      <w:pPr>
        <w:pStyle w:val="BodyText"/>
      </w:pPr>
      <w:r>
        <w:rPr>
          <w:vertAlign w:val="superscript"/>
        </w:rPr>
        <w:t xml:space="preserve">24</w:t>
      </w:r>
      <w:r>
        <w:t xml:space="preserve"> </w:t>
      </w:r>
      <w:r>
        <w:rPr>
          <w:bCs/>
          <w:b/>
        </w:rPr>
        <w:t xml:space="preserve">CPT surgery:</w:t>
      </w:r>
      <w:r>
        <w:t xml:space="preserve"> </w:t>
      </w:r>
      <w:r>
        <w:t xml:space="preserve">32036, 32095, 32096, 32097, 32100, 32120, 32140,</w:t>
      </w:r>
      <w:r>
        <w:t xml:space="preserve"> </w:t>
      </w:r>
      <w:r>
        <w:t xml:space="preserve">32141, 32150, 32200, 32201, 32310, 32315, 32320, 32440, 32442, 32445,</w:t>
      </w:r>
      <w:r>
        <w:t xml:space="preserve"> </w:t>
      </w:r>
      <w:r>
        <w:t xml:space="preserve">32450, 32480, 32482, 32484, 32485, 32486, 32488, 32490, 32491, 32500,</w:t>
      </w:r>
      <w:r>
        <w:t xml:space="preserve"> </w:t>
      </w:r>
      <w:r>
        <w:t xml:space="preserve">32503, 32504, 32505, 32520, 32522, 32525, 32540, 32545, 32656, 32657,</w:t>
      </w:r>
      <w:r>
        <w:t xml:space="preserve"> </w:t>
      </w:r>
      <w:r>
        <w:t xml:space="preserve">32663, 32666, 32667, 32668, 32669, 32670, 32671, 32672, 32700, 32705.</w:t>
      </w:r>
      <w:r>
        <w:t xml:space="preserve"> </w:t>
      </w:r>
      <w:r>
        <w:rPr>
          <w:bCs/>
          <w:b/>
        </w:rPr>
        <w:t xml:space="preserve">ICD-10 ablation:</w:t>
      </w:r>
      <w:r>
        <w:t xml:space="preserve"> </w:t>
      </w:r>
      <w:r>
        <w:t xml:space="preserve">0B5K0ZZ, 0B5L0ZZ, 0B5M0ZZ, 0B5K3ZZ, 0B5L3ZZ,</w:t>
      </w:r>
      <w:r>
        <w:t xml:space="preserve"> </w:t>
      </w:r>
      <w:r>
        <w:t xml:space="preserve">0B5M3ZZ, 0B5K4ZZ, 0B5L4ZZ, 0B5M4ZZ, 0B5K7ZZ, 0B5K8ZZ, 0B5L7ZZ,</w:t>
      </w:r>
      <w:r>
        <w:t xml:space="preserve"> </w:t>
      </w:r>
      <w:r>
        <w:t xml:space="preserve">0B5L8ZZ, 0B5M7ZZ, 0B5M8ZZ.</w:t>
      </w:r>
      <w:r>
        <w:t xml:space="preserve"> </w:t>
      </w:r>
      <w:r>
        <w:rPr>
          <w:bCs/>
          <w:b/>
        </w:rPr>
        <w:t xml:space="preserve">ICD-10 resection:</w:t>
      </w:r>
      <w:r>
        <w:t xml:space="preserve"> </w:t>
      </w:r>
      <w:r>
        <w:t xml:space="preserve">0B5K8ZZ, 0B5L8ZZ,</w:t>
      </w:r>
      <w:r>
        <w:t xml:space="preserve"> </w:t>
      </w:r>
      <w:r>
        <w:t xml:space="preserve">0B5M8ZZ, 0BBK8ZZ, 0BBL8ZZ, 0BBM4ZZ, 0BBM8ZZ.</w:t>
      </w:r>
      <w:r>
        <w:t xml:space="preserve"> </w:t>
      </w:r>
      <w:r>
        <w:rPr>
          <w:bCs/>
          <w:b/>
        </w:rPr>
        <w:t xml:space="preserve">ICD-10 lobectomy:</w:t>
      </w:r>
      <w:r>
        <w:t xml:space="preserve"> </w:t>
      </w:r>
      <w:r>
        <w:t xml:space="preserve">0BTC4ZZ, 0BTD4ZZ, 0BTF4ZZ, 0BTG4ZZ, 0BTJ4ZZ, 0BTC0ZZ, 0BTD0ZZ,</w:t>
      </w:r>
      <w:r>
        <w:t xml:space="preserve"> </w:t>
      </w:r>
      <w:r>
        <w:t xml:space="preserve">0BTF0ZZ, 0BTG0ZZ, 0BTJ0ZZ.</w:t>
      </w:r>
      <w:r>
        <w:t xml:space="preserve"> </w:t>
      </w:r>
      <w:r>
        <w:rPr>
          <w:bCs/>
          <w:b/>
        </w:rPr>
        <w:t xml:space="preserve">ICD-10 thoracotomy:</w:t>
      </w:r>
      <w:r>
        <w:t xml:space="preserve"> </w:t>
      </w:r>
      <w:r>
        <w:t xml:space="preserve">02JA0ZZ, 0WJC0ZZ.</w:t>
      </w:r>
      <w:r>
        <w:t xml:space="preserve"> </w:t>
      </w:r>
      <w:r>
        <w:rPr>
          <w:bCs/>
          <w:b/>
        </w:rPr>
        <w:t xml:space="preserve">ICD-10 thoracoscopy:</w:t>
      </w:r>
      <w:r>
        <w:t xml:space="preserve"> </w:t>
      </w:r>
      <w:r>
        <w:t xml:space="preserve">0BJ04ZZ, 0WJQ4ZZ.</w:t>
      </w:r>
      <w:r>
        <w:t xml:space="preserve"> </w:t>
      </w:r>
      <w:r>
        <w:rPr>
          <w:bCs/>
          <w:b/>
        </w:rPr>
        <w:t xml:space="preserve">ICD-10 excision:</w:t>
      </w:r>
      <w:r>
        <w:t xml:space="preserve"> </w:t>
      </w:r>
      <w:r>
        <w:t xml:space="preserve">0BBK4ZZ, 0BBL4ZZ, 0B5K0ZZ, 0B5K3ZZ, 0B5K7ZZ, 0B5L0ZZ, 0B5L3ZZ,</w:t>
      </w:r>
      <w:r>
        <w:t xml:space="preserve"> </w:t>
      </w:r>
      <w:r>
        <w:t xml:space="preserve">0B5L7ZZ, 0B5M0ZZ, 0B5M3ZZ, 0B5M7ZZ, 0BBK0ZZ, 0BBK3ZZ, 0BBK7ZZ,</w:t>
      </w:r>
      <w:r>
        <w:t xml:space="preserve"> </w:t>
      </w:r>
      <w:r>
        <w:t xml:space="preserve">0BBL0ZZ, 0BBL3ZZ, 0BBL7ZZ, 0BBM0ZZ, 0BBM3ZZ, 0BBM7ZZ, 0BBC4ZZ,</w:t>
      </w:r>
      <w:r>
        <w:t xml:space="preserve"> </w:t>
      </w:r>
      <w:r>
        <w:t xml:space="preserve">0BBD4ZZ, 0BBF4ZZ, 0BBG4ZZ, 0BBH4ZZ, 0BBJ4ZZ, 0BBK4ZZ, 0BBL4ZZ,</w:t>
      </w:r>
      <w:r>
        <w:t xml:space="preserve"> </w:t>
      </w:r>
      <w:r>
        <w:t xml:space="preserve">0BTH4ZZ, 0BBK0ZZ, 0BBK3ZZ, 0BBK7ZZ, 0BBL0ZZ, 0BBL3ZZ, 0BBL7ZZ.</w:t>
      </w:r>
      <w:r>
        <w:t xml:space="preserve"> </w:t>
      </w:r>
      <w:r>
        <w:rPr>
          <w:bCs/>
          <w:b/>
        </w:rPr>
        <w:t xml:space="preserve">ICD-10 pneumonectomy:</w:t>
      </w:r>
      <w:r>
        <w:t xml:space="preserve"> </w:t>
      </w:r>
      <w:r>
        <w:t xml:space="preserve">0BTK4ZZ, 0BTL4ZZ, 0BTM4ZZ. 0BTK0ZZ, 0BTL0ZZ,</w:t>
      </w:r>
      <w:r>
        <w:t xml:space="preserve"> </w:t>
      </w:r>
      <w:r>
        <w:t xml:space="preserve">0BTM0ZZ.</w:t>
      </w:r>
      <w:r>
        <w:t xml:space="preserve"> </w:t>
      </w:r>
      <w:r>
        <w:rPr>
          <w:bCs/>
          <w:b/>
        </w:rPr>
        <w:t xml:space="preserve">ICD-10 bronchus excision:</w:t>
      </w:r>
      <w:r>
        <w:t xml:space="preserve"> </w:t>
      </w:r>
      <w:r>
        <w:t xml:space="preserve">0B534ZZ, 0B538ZZ, 0B544ZZ,</w:t>
      </w:r>
      <w:r>
        <w:t xml:space="preserve"> </w:t>
      </w:r>
      <w:r>
        <w:t xml:space="preserve">0B548ZZ, 0B554ZZ, 0B558ZZ, 0B564ZZ, 0B568ZZ, 0B574ZZ, 0B578ZZ,</w:t>
      </w:r>
      <w:r>
        <w:t xml:space="preserve"> </w:t>
      </w:r>
      <w:r>
        <w:t xml:space="preserve">0B584ZZ, 0B588ZZ, 0B594ZZ, 0B598ZZ, 0B5B4ZZ, 0B5B8ZZ, 0BB34ZZ,</w:t>
      </w:r>
      <w:r>
        <w:t xml:space="preserve"> </w:t>
      </w:r>
      <w:r>
        <w:t xml:space="preserve">0BB38ZZ, 0BB44ZZ, 0BB48ZZ, 0BB54ZZ, 0BB58ZZ, 0BB64ZZ, 0BB68ZZ,</w:t>
      </w:r>
      <w:r>
        <w:t xml:space="preserve"> </w:t>
      </w:r>
      <w:r>
        <w:t xml:space="preserve">0BB74ZZ, 0BB78ZZ, 0BB84ZZ, 0BB88ZZ, 0BB94ZZ, 0BB98ZZ, 0BBB4ZZ,</w:t>
      </w:r>
      <w:r>
        <w:t xml:space="preserve"> </w:t>
      </w:r>
      <w:r>
        <w:t xml:space="preserve">0BBB8ZZ, 0B530ZZ, 0B533ZZ, 0B537ZZ, 0B540ZZ, 0B543ZZ, 0B547ZZ,</w:t>
      </w:r>
      <w:r>
        <w:t xml:space="preserve"> </w:t>
      </w:r>
      <w:r>
        <w:t xml:space="preserve">0B550ZZ, 0B553ZZ, 0B557ZZ, 0B560ZZ, 0B563ZZ, 0B567ZZ, 0B570ZZ,</w:t>
      </w:r>
      <w:r>
        <w:t xml:space="preserve"> </w:t>
      </w:r>
      <w:r>
        <w:t xml:space="preserve">0B573ZZ, 0B577ZZ, 0B580ZZ, 0B583ZZ, 0B587ZZ, 0B590ZZ, 0B593ZZ,</w:t>
      </w:r>
      <w:r>
        <w:t xml:space="preserve"> </w:t>
      </w:r>
      <w:r>
        <w:t xml:space="preserve">0B597ZZ, 0B5B0ZZ, 0B5B3ZZ, 0B5B7ZZ, 0BB30ZZ, 0BB33ZZ, 0BB37ZZ,</w:t>
      </w:r>
      <w:r>
        <w:t xml:space="preserve"> </w:t>
      </w:r>
      <w:r>
        <w:t xml:space="preserve">0BB40ZZ, 0BB43ZZ, 0BB47ZZ, 0BB50ZZ, 0BB53ZZ, 0BB57ZZ, 0BB60ZZ,</w:t>
      </w:r>
      <w:r>
        <w:t xml:space="preserve"> </w:t>
      </w:r>
      <w:r>
        <w:t xml:space="preserve">0BB63ZZ, 0BB67ZZ, 0BB70ZZ, 0BB73ZZ, 0BB77ZZ, 0BB80ZZ, 0BB83ZZ,</w:t>
      </w:r>
      <w:r>
        <w:t xml:space="preserve"> </w:t>
      </w:r>
      <w:r>
        <w:t xml:space="preserve">0BB87ZZ, 0BB90ZZ, 0BB93ZZ, 0BB97ZZ, 0BBB0ZZ, 0BBB3ZZ, 0BBB7ZZ,</w:t>
      </w:r>
      <w:r>
        <w:t xml:space="preserve"> </w:t>
      </w:r>
      <w:r>
        <w:t xml:space="preserve">0BT30ZZ, 0BT34ZZ, 0BT40ZZ, 0BT44ZZ, 0BT50ZZ, 0BT54ZZ, 0BT60ZZ,</w:t>
      </w:r>
      <w:r>
        <w:t xml:space="preserve"> </w:t>
      </w:r>
      <w:r>
        <w:t xml:space="preserve">0BT64ZZ, 0BT70ZZ, 0BT74ZZ, 0BT80ZZ, 0BT84ZZ, 0BT90ZZ, 0BT94ZZ, 0BTB0ZZ.</w:t>
      </w:r>
      <w:r>
        <w:t xml:space="preserve"> </w:t>
      </w:r>
      <w:r>
        <w:rPr>
          <w:bCs/>
          <w:b/>
        </w:rPr>
        <w:t xml:space="preserve">ICD-9:</w:t>
      </w:r>
      <w:r>
        <w:t xml:space="preserve"> </w:t>
      </w:r>
      <w:r>
        <w:t xml:space="preserve">32.0, 32.01, 32.09, 32.1, 32.20, 32.23, 32.34, 32.25, 32.26, 32.28,</w:t>
      </w:r>
      <w:r>
        <w:t xml:space="preserve"> </w:t>
      </w:r>
      <w:r>
        <w:t xml:space="preserve">32.29, 32.3, 32.39, 32.4, 32.41, 32.49, 34.02, 34.21, 32.5, 32.59.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zimolzak/instruct-project-etrigger-sql" TargetMode="External" /><Relationship Type="http://schemas.openxmlformats.org/officeDocument/2006/relationships/hyperlink" Id="rId25" Target="https://pubmed.ncbi.nlm.nih.gov/23873756/" TargetMode="External" /><Relationship Type="http://schemas.openxmlformats.org/officeDocument/2006/relationships/hyperlink" Id="rId24" Target="https://pubmed.ncbi.nlm.nih.gov/25961634/" TargetMode="External" /><Relationship Type="http://schemas.openxmlformats.org/officeDocument/2006/relationships/hyperlink" Id="rId23" Target="https://pubmed.ncbi.nlm.nih.gov/27178786/" TargetMode="External" /><Relationship Type="http://schemas.openxmlformats.org/officeDocument/2006/relationships/hyperlink" Id="rId22" Target="https://pubmed.ncbi.nlm.nih.gov/28804030/" TargetMode="External" /><Relationship Type="http://schemas.openxmlformats.org/officeDocument/2006/relationships/hyperlink" Id="rId21" Target="mailto:Sahar.Memon@bcm.edu" TargetMode="External" /><Relationship Type="http://schemas.openxmlformats.org/officeDocument/2006/relationships/hyperlink" Id="rId20" Target="mailto:zimolzak@bcm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zimolzak/instruct-project-etrigger-sql" TargetMode="External" /><Relationship Type="http://schemas.openxmlformats.org/officeDocument/2006/relationships/hyperlink" Id="rId25" Target="https://pubmed.ncbi.nlm.nih.gov/23873756/" TargetMode="External" /><Relationship Type="http://schemas.openxmlformats.org/officeDocument/2006/relationships/hyperlink" Id="rId24" Target="https://pubmed.ncbi.nlm.nih.gov/25961634/" TargetMode="External" /><Relationship Type="http://schemas.openxmlformats.org/officeDocument/2006/relationships/hyperlink" Id="rId23" Target="https://pubmed.ncbi.nlm.nih.gov/27178786/" TargetMode="External" /><Relationship Type="http://schemas.openxmlformats.org/officeDocument/2006/relationships/hyperlink" Id="rId22" Target="https://pubmed.ncbi.nlm.nih.gov/28804030/" TargetMode="External" /><Relationship Type="http://schemas.openxmlformats.org/officeDocument/2006/relationships/hyperlink" Id="rId21" Target="mailto:Sahar.Memon@bcm.edu" TargetMode="External" /><Relationship Type="http://schemas.openxmlformats.org/officeDocument/2006/relationships/hyperlink" Id="rId20" Target="mailto:zimolzak@bcm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Test Result e-Trigger Manual</dc:title>
  <dc:creator/>
  <cp:keywords/>
  <dcterms:created xsi:type="dcterms:W3CDTF">2022-04-06T16:44:49Z</dcterms:created>
  <dcterms:modified xsi:type="dcterms:W3CDTF">2022-04-06T16:44:49Z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