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BF" w:rsidRPr="00620655" w:rsidRDefault="00A835BF" w:rsidP="00A835BF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620655">
        <w:rPr>
          <w:rFonts w:ascii="Times New Roman" w:eastAsia="微软雅黑" w:hAnsi="Times New Roman" w:cs="微软雅黑" w:hint="eastAsia"/>
          <w:sz w:val="36"/>
          <w:szCs w:val="30"/>
        </w:rPr>
        <w:t>一致性评价企业研究报告及生物等效性试验数据</w:t>
      </w:r>
    </w:p>
    <w:p w:rsidR="00A835BF" w:rsidRPr="00620655" w:rsidRDefault="00A835BF" w:rsidP="00A835BF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620655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A835BF" w:rsidRPr="00620655" w:rsidRDefault="00A835BF" w:rsidP="00A835BF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A835BF" w:rsidRPr="00620655" w:rsidRDefault="00A835BF" w:rsidP="00A835BF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620655">
        <w:rPr>
          <w:rFonts w:ascii="Times New Roman" w:hAnsi="Times New Roman" w:hint="eastAsia"/>
          <w:b/>
          <w:sz w:val="24"/>
          <w:szCs w:val="24"/>
        </w:rPr>
        <w:t>基本情况汇总</w:t>
      </w:r>
      <w:r w:rsidRPr="00620655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A835BF" w:rsidRPr="00A835BF" w:rsidTr="00D81DDE">
        <w:trPr>
          <w:trHeight w:val="46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格列吡嗪分散片</w:t>
            </w:r>
          </w:p>
        </w:tc>
      </w:tr>
      <w:tr w:rsidR="00A835BF" w:rsidRPr="00A835BF" w:rsidTr="00D81DDE">
        <w:trPr>
          <w:trHeight w:val="46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Glipizide Dispersible Tablets</w:t>
            </w:r>
          </w:p>
        </w:tc>
      </w:tr>
      <w:tr w:rsidR="00A835BF" w:rsidRPr="00A835BF" w:rsidTr="00D81DDE">
        <w:trPr>
          <w:trHeight w:val="46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片剂，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</w:p>
        </w:tc>
      </w:tr>
      <w:tr w:rsidR="00A835BF" w:rsidRPr="00A835BF" w:rsidTr="00A835BF">
        <w:trPr>
          <w:trHeight w:val="334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A835BF">
            <w:pPr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山东华素制药有限公司</w:t>
            </w:r>
          </w:p>
        </w:tc>
      </w:tr>
      <w:tr w:rsidR="00A835BF" w:rsidRPr="00A835BF" w:rsidTr="00D81DDE">
        <w:trPr>
          <w:trHeight w:val="46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lang w:val="zh-TW" w:bidi="sa-IN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威海市羊亭镇个体私营经济工业园</w:t>
            </w:r>
          </w:p>
        </w:tc>
      </w:tr>
      <w:tr w:rsidR="00A835BF" w:rsidRPr="00A835BF" w:rsidTr="00D81DDE">
        <w:trPr>
          <w:trHeight w:val="46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山东华素制药有限公司</w:t>
            </w:r>
          </w:p>
        </w:tc>
      </w:tr>
      <w:tr w:rsidR="00A835BF" w:rsidRPr="00A835BF" w:rsidTr="00D81DDE">
        <w:trPr>
          <w:trHeight w:val="46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H20174122</w:t>
            </w:r>
          </w:p>
        </w:tc>
      </w:tr>
      <w:tr w:rsidR="00A835BF" w:rsidRPr="00A835BF" w:rsidTr="00D81DDE">
        <w:trPr>
          <w:trHeight w:val="44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835BF" w:rsidRPr="00A835BF" w:rsidTr="00D81DDE">
        <w:trPr>
          <w:trHeight w:val="44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A835BF" w:rsidRPr="00A835BF" w:rsidRDefault="00A835BF" w:rsidP="00D81D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835BF" w:rsidRPr="00A835BF" w:rsidRDefault="00A835BF" w:rsidP="00D81D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835BF" w:rsidRPr="00A835BF" w:rsidTr="00D81DDE">
        <w:trPr>
          <w:trHeight w:val="44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BA2207S</w:t>
            </w:r>
          </w:p>
        </w:tc>
      </w:tr>
      <w:tr w:rsidR="00A835BF" w:rsidRPr="00A835BF" w:rsidTr="00D81DDE">
        <w:trPr>
          <w:trHeight w:val="44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山东华素制药有限公司</w:t>
            </w:r>
          </w:p>
        </w:tc>
      </w:tr>
      <w:tr w:rsidR="00A835BF" w:rsidRPr="00A835BF" w:rsidTr="00D81DDE">
        <w:trPr>
          <w:trHeight w:val="44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A835BF" w:rsidRPr="00A835BF" w:rsidTr="00D81DDE">
        <w:trPr>
          <w:trHeight w:val="674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835BF" w:rsidRPr="00A835BF" w:rsidRDefault="00A835BF" w:rsidP="00D81D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835BF" w:rsidRPr="00A835BF" w:rsidRDefault="00A835BF" w:rsidP="00D81D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835BF" w:rsidRPr="00A835BF" w:rsidRDefault="00A835BF" w:rsidP="00D81DD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835BF" w:rsidRPr="00A835BF" w:rsidTr="00D81DDE">
        <w:trPr>
          <w:trHeight w:val="47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B202200196-01</w:t>
            </w:r>
          </w:p>
        </w:tc>
      </w:tr>
      <w:tr w:rsidR="00A835BF" w:rsidRPr="00A835BF" w:rsidTr="00D81DDE">
        <w:trPr>
          <w:trHeight w:val="412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合肥京东方医院</w:t>
            </w:r>
            <w:r w:rsidR="004F64E1" w:rsidRPr="004F64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药物临床试验机构</w:t>
            </w:r>
          </w:p>
        </w:tc>
      </w:tr>
      <w:tr w:rsidR="00A835BF" w:rsidRPr="00A835BF" w:rsidTr="00D81DDE">
        <w:trPr>
          <w:trHeight w:val="389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</w:t>
            </w:r>
            <w:r w:rsidR="004F64E1" w:rsidRPr="004F64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领咖</w:t>
            </w: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医学科技有限公司</w:t>
            </w:r>
          </w:p>
        </w:tc>
      </w:tr>
      <w:tr w:rsidR="00A835BF" w:rsidRPr="00A835BF" w:rsidTr="00D81DDE">
        <w:trPr>
          <w:trHeight w:val="428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835BF" w:rsidRPr="00A835BF" w:rsidTr="00D81DDE">
        <w:trPr>
          <w:trHeight w:val="406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本研究为格列吡嗪</w:t>
            </w: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片空腹和餐后试验，采用</w:t>
            </w:r>
            <w:r w:rsidRPr="00A835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随机、开放、单剂量、两序列、两周期、双交叉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设计</w:t>
            </w:r>
          </w:p>
        </w:tc>
      </w:tr>
      <w:tr w:rsidR="00A835BF" w:rsidRPr="00A835BF" w:rsidTr="00D81DDE">
        <w:trPr>
          <w:trHeight w:val="515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格列吡嗪</w:t>
            </w:r>
          </w:p>
        </w:tc>
      </w:tr>
      <w:tr w:rsidR="00A835BF" w:rsidRPr="00A835BF" w:rsidTr="00A835BF">
        <w:trPr>
          <w:trHeight w:val="504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835BF" w:rsidRPr="00A835BF" w:rsidTr="00D81DDE">
        <w:trPr>
          <w:trHeight w:val="420"/>
          <w:jc w:val="center"/>
        </w:trPr>
        <w:tc>
          <w:tcPr>
            <w:tcW w:w="3491" w:type="dxa"/>
            <w:vAlign w:val="center"/>
          </w:tcPr>
          <w:p w:rsidR="00A835BF" w:rsidRPr="00A835BF" w:rsidRDefault="00A835BF" w:rsidP="00D81DD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835BF" w:rsidRPr="00A835BF" w:rsidRDefault="00A835BF" w:rsidP="00D81DD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835B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835BF" w:rsidRPr="0051320D" w:rsidRDefault="00A835BF" w:rsidP="00A835BF">
      <w:pPr>
        <w:spacing w:line="360" w:lineRule="auto"/>
        <w:rPr>
          <w:rFonts w:ascii="Times New Roman" w:hAnsi="Times New Roman"/>
          <w:sz w:val="24"/>
          <w:szCs w:val="24"/>
        </w:rPr>
      </w:pPr>
      <w:r w:rsidRPr="0051320D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51320D">
        <w:rPr>
          <w:rFonts w:ascii="Times New Roman" w:hAnsi="Times New Roman" w:hint="eastAsia"/>
          <w:b/>
          <w:sz w:val="24"/>
          <w:szCs w:val="24"/>
        </w:rPr>
        <w:t>生物等效性研究结果</w:t>
      </w:r>
      <w:r w:rsidRPr="0051320D">
        <w:rPr>
          <w:rFonts w:ascii="Times New Roman" w:hAnsi="Times New Roman" w:hint="eastAsia"/>
          <w:sz w:val="24"/>
          <w:szCs w:val="24"/>
        </w:rPr>
        <w:t>（</w:t>
      </w:r>
      <w:r w:rsidRPr="0051320D">
        <w:rPr>
          <w:rFonts w:ascii="Times New Roman" w:hAnsi="Times New Roman"/>
          <w:sz w:val="24"/>
          <w:szCs w:val="24"/>
        </w:rPr>
        <w:t>5m</w:t>
      </w:r>
      <w:r w:rsidRPr="0051320D">
        <w:rPr>
          <w:rFonts w:ascii="Times New Roman" w:hAnsi="Times New Roman" w:hint="eastAsia"/>
          <w:sz w:val="24"/>
          <w:szCs w:val="24"/>
        </w:rPr>
        <w:t>g</w:t>
      </w:r>
      <w:r w:rsidRPr="0051320D">
        <w:rPr>
          <w:rFonts w:ascii="Times New Roman" w:hAnsi="Times New Roman" w:hint="eastAsia"/>
          <w:sz w:val="24"/>
          <w:szCs w:val="24"/>
        </w:rPr>
        <w:t>规格）</w:t>
      </w:r>
    </w:p>
    <w:tbl>
      <w:tblPr>
        <w:tblStyle w:val="a5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A835BF" w:rsidRPr="00620655" w:rsidTr="00D81DDE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A835BF" w:rsidRPr="00E235D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A835BF" w:rsidRPr="00E235D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A835BF" w:rsidRPr="00E235D5" w:rsidRDefault="00A835BF" w:rsidP="00A835BF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E235D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A835BF" w:rsidRPr="00E235D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A835BF" w:rsidRPr="00E235D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A835BF" w:rsidRPr="0062065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835BF" w:rsidRPr="00620655" w:rsidTr="00D81DDE">
        <w:trPr>
          <w:trHeight w:val="426"/>
          <w:jc w:val="center"/>
        </w:trPr>
        <w:tc>
          <w:tcPr>
            <w:tcW w:w="663" w:type="pct"/>
            <w:vMerge/>
          </w:tcPr>
          <w:p w:rsidR="00A835BF" w:rsidRPr="00E235D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A835BF" w:rsidRPr="00E235D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A835BF" w:rsidRPr="00E235D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A835BF" w:rsidRPr="00E235D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A835BF" w:rsidRPr="00E235D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A835BF" w:rsidRPr="00620655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1B2A2D" w:rsidRPr="00620655" w:rsidTr="00D81DDE">
        <w:trPr>
          <w:trHeight w:val="457"/>
          <w:jc w:val="center"/>
        </w:trPr>
        <w:tc>
          <w:tcPr>
            <w:tcW w:w="663" w:type="pct"/>
            <w:vMerge/>
          </w:tcPr>
          <w:p w:rsidR="001B2A2D" w:rsidRPr="00E235D5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1B2A2D" w:rsidRPr="00E235D5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533.40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532.77</w:t>
            </w:r>
          </w:p>
        </w:tc>
        <w:tc>
          <w:tcPr>
            <w:tcW w:w="746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100.12</w:t>
            </w:r>
          </w:p>
        </w:tc>
        <w:tc>
          <w:tcPr>
            <w:tcW w:w="1136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94.50</w:t>
            </w:r>
            <w:r w:rsidRPr="004B5807">
              <w:rPr>
                <w:szCs w:val="21"/>
              </w:rPr>
              <w:t>%~</w:t>
            </w:r>
            <w:r>
              <w:rPr>
                <w:szCs w:val="21"/>
              </w:rPr>
              <w:t>106.07</w:t>
            </w:r>
            <w:r w:rsidRPr="004B5807">
              <w:rPr>
                <w:szCs w:val="21"/>
              </w:rPr>
              <w:t>%</w:t>
            </w:r>
          </w:p>
        </w:tc>
      </w:tr>
      <w:tr w:rsidR="001B2A2D" w:rsidRPr="00620655" w:rsidTr="00D81DDE">
        <w:trPr>
          <w:trHeight w:val="488"/>
          <w:jc w:val="center"/>
        </w:trPr>
        <w:tc>
          <w:tcPr>
            <w:tcW w:w="663" w:type="pct"/>
            <w:vMerge/>
          </w:tcPr>
          <w:p w:rsidR="001B2A2D" w:rsidRPr="00E235D5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1B2A2D" w:rsidRPr="00E235D5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2929.21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2903.59</w:t>
            </w:r>
          </w:p>
        </w:tc>
        <w:tc>
          <w:tcPr>
            <w:tcW w:w="746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100.88</w:t>
            </w:r>
          </w:p>
        </w:tc>
        <w:tc>
          <w:tcPr>
            <w:tcW w:w="1136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97.73</w:t>
            </w:r>
            <w:r w:rsidRPr="004B5807">
              <w:rPr>
                <w:szCs w:val="21"/>
              </w:rPr>
              <w:t>%~</w:t>
            </w:r>
            <w:r>
              <w:rPr>
                <w:szCs w:val="21"/>
              </w:rPr>
              <w:t>104.14</w:t>
            </w:r>
            <w:r w:rsidRPr="004B5807">
              <w:rPr>
                <w:szCs w:val="21"/>
              </w:rPr>
              <w:t>%</w:t>
            </w:r>
          </w:p>
        </w:tc>
      </w:tr>
      <w:tr w:rsidR="001B2A2D" w:rsidRPr="00620655" w:rsidTr="00D81DDE">
        <w:trPr>
          <w:trHeight w:val="519"/>
          <w:jc w:val="center"/>
        </w:trPr>
        <w:tc>
          <w:tcPr>
            <w:tcW w:w="663" w:type="pct"/>
            <w:vMerge/>
          </w:tcPr>
          <w:p w:rsidR="001B2A2D" w:rsidRPr="00E235D5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1B2A2D" w:rsidRPr="00E235D5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2948.80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2922.44</w:t>
            </w:r>
          </w:p>
        </w:tc>
        <w:tc>
          <w:tcPr>
            <w:tcW w:w="746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100.90</w:t>
            </w:r>
          </w:p>
        </w:tc>
        <w:tc>
          <w:tcPr>
            <w:tcW w:w="1136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97.78</w:t>
            </w:r>
            <w:r w:rsidRPr="004B5807">
              <w:rPr>
                <w:szCs w:val="21"/>
              </w:rPr>
              <w:t>%~</w:t>
            </w:r>
            <w:r>
              <w:rPr>
                <w:szCs w:val="21"/>
              </w:rPr>
              <w:t>104.12</w:t>
            </w:r>
            <w:r w:rsidRPr="004B5807">
              <w:rPr>
                <w:szCs w:val="21"/>
              </w:rPr>
              <w:t>%</w:t>
            </w:r>
          </w:p>
        </w:tc>
      </w:tr>
      <w:tr w:rsidR="00A835BF" w:rsidRPr="00620655" w:rsidTr="00D81DDE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A835BF" w:rsidRPr="00C5344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3447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A835BF" w:rsidRPr="00C5344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344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C53447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C53447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Pr="00C53447">
              <w:rPr>
                <w:rFonts w:ascii="Times New Roman" w:eastAsiaTheme="minorEastAsia" w:hAnsi="Times New Roman"/>
                <w:sz w:val="21"/>
                <w:szCs w:val="21"/>
              </w:rPr>
              <w:t>28</w:t>
            </w:r>
            <w:r w:rsidRPr="00C53447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A835BF" w:rsidRPr="00C5344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344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A835BF" w:rsidRPr="004B580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A835BF" w:rsidRPr="004B580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835BF" w:rsidRPr="00620655" w:rsidTr="00D81DDE">
        <w:trPr>
          <w:trHeight w:val="426"/>
          <w:jc w:val="center"/>
        </w:trPr>
        <w:tc>
          <w:tcPr>
            <w:tcW w:w="663" w:type="pct"/>
            <w:vMerge/>
          </w:tcPr>
          <w:p w:rsidR="00A835BF" w:rsidRPr="00C5344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A835BF" w:rsidRPr="00C5344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A835BF" w:rsidRPr="004B580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A835BF" w:rsidRPr="004B580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A835BF" w:rsidRPr="004B580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B580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A835BF" w:rsidRPr="004B5807" w:rsidRDefault="00A835BF" w:rsidP="00D81DDE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B2A2D" w:rsidRPr="00620655" w:rsidTr="001B2A2D">
        <w:trPr>
          <w:trHeight w:val="457"/>
          <w:jc w:val="center"/>
        </w:trPr>
        <w:tc>
          <w:tcPr>
            <w:tcW w:w="663" w:type="pct"/>
            <w:vMerge/>
          </w:tcPr>
          <w:p w:rsidR="001B2A2D" w:rsidRPr="00C53447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bookmarkStart w:id="0" w:name="_GoBack" w:colFirst="2" w:colLast="2"/>
          </w:p>
        </w:tc>
        <w:tc>
          <w:tcPr>
            <w:tcW w:w="1081" w:type="pct"/>
            <w:vAlign w:val="center"/>
          </w:tcPr>
          <w:p w:rsidR="001B2A2D" w:rsidRPr="00E235D5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425.86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436.84</w:t>
            </w:r>
          </w:p>
        </w:tc>
        <w:tc>
          <w:tcPr>
            <w:tcW w:w="746" w:type="pct"/>
            <w:vAlign w:val="center"/>
          </w:tcPr>
          <w:p w:rsidR="001B2A2D" w:rsidRDefault="001B2A2D" w:rsidP="001B2A2D">
            <w:pPr>
              <w:topLinePunct/>
              <w:adjustRightInd w:val="0"/>
              <w:jc w:val="center"/>
              <w:rPr>
                <w:szCs w:val="21"/>
              </w:rPr>
            </w:pPr>
            <w:r>
              <w:rPr>
                <w:szCs w:val="21"/>
              </w:rPr>
              <w:t>97.49</w:t>
            </w:r>
          </w:p>
        </w:tc>
        <w:tc>
          <w:tcPr>
            <w:tcW w:w="1136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90.21</w:t>
            </w:r>
            <w:r w:rsidRPr="004B5807">
              <w:rPr>
                <w:szCs w:val="21"/>
              </w:rPr>
              <w:t>%~</w:t>
            </w:r>
            <w:r>
              <w:rPr>
                <w:szCs w:val="21"/>
              </w:rPr>
              <w:t>105.35</w:t>
            </w:r>
            <w:r w:rsidRPr="004B5807">
              <w:rPr>
                <w:szCs w:val="21"/>
              </w:rPr>
              <w:t>%</w:t>
            </w:r>
          </w:p>
        </w:tc>
      </w:tr>
      <w:tr w:rsidR="001B2A2D" w:rsidRPr="00620655" w:rsidTr="001B2A2D">
        <w:trPr>
          <w:trHeight w:val="488"/>
          <w:jc w:val="center"/>
        </w:trPr>
        <w:tc>
          <w:tcPr>
            <w:tcW w:w="663" w:type="pct"/>
            <w:vMerge/>
          </w:tcPr>
          <w:p w:rsidR="001B2A2D" w:rsidRPr="00C53447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1B2A2D" w:rsidRPr="00E235D5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3173.08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3144.97</w:t>
            </w:r>
          </w:p>
        </w:tc>
        <w:tc>
          <w:tcPr>
            <w:tcW w:w="746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100.89</w:t>
            </w:r>
          </w:p>
        </w:tc>
        <w:tc>
          <w:tcPr>
            <w:tcW w:w="1136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98.01</w:t>
            </w:r>
            <w:r w:rsidRPr="004B5807">
              <w:rPr>
                <w:szCs w:val="21"/>
              </w:rPr>
              <w:t>%~</w:t>
            </w:r>
            <w:r>
              <w:rPr>
                <w:szCs w:val="21"/>
              </w:rPr>
              <w:t>103.86</w:t>
            </w:r>
            <w:r w:rsidRPr="004B5807">
              <w:rPr>
                <w:szCs w:val="21"/>
              </w:rPr>
              <w:t>%</w:t>
            </w:r>
          </w:p>
        </w:tc>
      </w:tr>
      <w:tr w:rsidR="001B2A2D" w:rsidRPr="00620655" w:rsidTr="001B2A2D">
        <w:trPr>
          <w:trHeight w:val="519"/>
          <w:jc w:val="center"/>
        </w:trPr>
        <w:tc>
          <w:tcPr>
            <w:tcW w:w="663" w:type="pct"/>
            <w:vMerge/>
          </w:tcPr>
          <w:p w:rsidR="001B2A2D" w:rsidRPr="00C53447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1B2A2D" w:rsidRPr="00E235D5" w:rsidRDefault="001B2A2D" w:rsidP="001B2A2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235D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3194.24</w:t>
            </w:r>
          </w:p>
        </w:tc>
        <w:tc>
          <w:tcPr>
            <w:tcW w:w="687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3170.893</w:t>
            </w:r>
          </w:p>
        </w:tc>
        <w:tc>
          <w:tcPr>
            <w:tcW w:w="746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100.74</w:t>
            </w:r>
          </w:p>
        </w:tc>
        <w:tc>
          <w:tcPr>
            <w:tcW w:w="1136" w:type="pct"/>
            <w:vAlign w:val="center"/>
          </w:tcPr>
          <w:p w:rsidR="001B2A2D" w:rsidRDefault="001B2A2D" w:rsidP="001B2A2D">
            <w:pPr>
              <w:adjustRightInd w:val="0"/>
              <w:spacing w:before="29" w:after="29"/>
              <w:jc w:val="center"/>
              <w:rPr>
                <w:szCs w:val="21"/>
              </w:rPr>
            </w:pPr>
            <w:r>
              <w:rPr>
                <w:szCs w:val="21"/>
              </w:rPr>
              <w:t>97.88</w:t>
            </w:r>
            <w:r w:rsidRPr="004B5807">
              <w:rPr>
                <w:szCs w:val="21"/>
              </w:rPr>
              <w:t>%~</w:t>
            </w:r>
            <w:r>
              <w:rPr>
                <w:szCs w:val="21"/>
              </w:rPr>
              <w:t>103.68</w:t>
            </w:r>
            <w:r w:rsidRPr="004B5807">
              <w:rPr>
                <w:szCs w:val="21"/>
              </w:rPr>
              <w:t>%</w:t>
            </w:r>
          </w:p>
        </w:tc>
      </w:tr>
    </w:tbl>
    <w:bookmarkEnd w:id="0"/>
    <w:p w:rsidR="00A835BF" w:rsidRPr="00F02667" w:rsidRDefault="00A835BF" w:rsidP="00A835BF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02667">
        <w:rPr>
          <w:rFonts w:ascii="Times New Roman" w:hAnsi="Times New Roman" w:hint="eastAsia"/>
          <w:b/>
          <w:sz w:val="24"/>
          <w:szCs w:val="24"/>
        </w:rPr>
        <w:t>3.</w:t>
      </w:r>
      <w:r w:rsidRPr="00F02667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A835BF" w:rsidRPr="00CA471F" w:rsidRDefault="00A835BF" w:rsidP="00A835B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A835BF">
        <w:rPr>
          <w:rFonts w:ascii="Times New Roman" w:hAnsi="Times New Roman" w:hint="eastAsia"/>
          <w:sz w:val="24"/>
          <w:szCs w:val="24"/>
        </w:rPr>
        <w:t>山东华素制药有限公司</w:t>
      </w:r>
      <w:r w:rsidRPr="00F02667">
        <w:rPr>
          <w:rFonts w:ascii="Times New Roman" w:hAnsi="Times New Roman" w:hint="eastAsia"/>
          <w:sz w:val="24"/>
          <w:szCs w:val="24"/>
        </w:rPr>
        <w:t>生产的格列吡嗪</w:t>
      </w:r>
      <w:r w:rsidRPr="00A835BF">
        <w:rPr>
          <w:rFonts w:ascii="Times New Roman" w:hAnsi="Times New Roman" w:hint="eastAsia"/>
          <w:sz w:val="24"/>
          <w:szCs w:val="24"/>
        </w:rPr>
        <w:t>分散</w:t>
      </w:r>
      <w:r w:rsidRPr="00F02667">
        <w:rPr>
          <w:rFonts w:ascii="Times New Roman" w:hAnsi="Times New Roman" w:hint="eastAsia"/>
          <w:sz w:val="24"/>
          <w:szCs w:val="24"/>
        </w:rPr>
        <w:t>片通过仿制药质量与疗效一致性评价。</w:t>
      </w:r>
    </w:p>
    <w:p w:rsidR="00A835BF" w:rsidRPr="00496359" w:rsidRDefault="00A835BF" w:rsidP="00A835B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</w:p>
    <w:p w:rsidR="00FD7B71" w:rsidRDefault="006654D1"/>
    <w:sectPr w:rsidR="00FD7B7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4D1" w:rsidRDefault="006654D1">
      <w:r>
        <w:separator/>
      </w:r>
    </w:p>
  </w:endnote>
  <w:endnote w:type="continuationSeparator" w:id="0">
    <w:p w:rsidR="006654D1" w:rsidRDefault="0066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A835BF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B2A2D" w:rsidRPr="001B2A2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4D1" w:rsidRDefault="006654D1">
      <w:r>
        <w:separator/>
      </w:r>
    </w:p>
  </w:footnote>
  <w:footnote w:type="continuationSeparator" w:id="0">
    <w:p w:rsidR="006654D1" w:rsidRDefault="00665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BF"/>
    <w:rsid w:val="001B2A2D"/>
    <w:rsid w:val="004F64E1"/>
    <w:rsid w:val="006654D1"/>
    <w:rsid w:val="006B7B64"/>
    <w:rsid w:val="009B5F14"/>
    <w:rsid w:val="00A835BF"/>
    <w:rsid w:val="00AF38DD"/>
    <w:rsid w:val="00EC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3DAFE3-C28B-48C9-8378-717C177D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5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8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A835BF"/>
    <w:rPr>
      <w:sz w:val="18"/>
      <w:szCs w:val="18"/>
    </w:rPr>
  </w:style>
  <w:style w:type="table" w:styleId="a5">
    <w:name w:val="Table Grid"/>
    <w:basedOn w:val="a1"/>
    <w:uiPriority w:val="59"/>
    <w:qFormat/>
    <w:rsid w:val="00A835B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35BF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header"/>
    <w:basedOn w:val="a"/>
    <w:link w:val="a8"/>
    <w:uiPriority w:val="99"/>
    <w:unhideWhenUsed/>
    <w:rsid w:val="004F6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F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苑如</dc:creator>
  <cp:keywords/>
  <dc:description/>
  <cp:lastModifiedBy>苑如</cp:lastModifiedBy>
  <cp:revision>3</cp:revision>
  <dcterms:created xsi:type="dcterms:W3CDTF">2024-04-03T01:16:00Z</dcterms:created>
  <dcterms:modified xsi:type="dcterms:W3CDTF">2024-04-03T09:01:00Z</dcterms:modified>
</cp:coreProperties>
</file>