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卡马西平片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Carbamazepine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480168"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宜兴市茶泉路</w:t>
            </w:r>
            <w:r w:rsidRPr="00480168">
              <w:rPr>
                <w:rFonts w:ascii="宋体" w:eastAsia="宋体" w:hAnsi="宋体" w:cs="Times New Roman"/>
                <w:sz w:val="24"/>
                <w:szCs w:val="24"/>
              </w:rPr>
              <w:t>10号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E35A9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H3202101</w:t>
            </w:r>
            <w:r w:rsidR="00E35A91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Times New Roman" w:eastAsia="宋体" w:hAnsi="Times New Roman" w:cs="Times New Roman"/>
                <w:sz w:val="24"/>
                <w:szCs w:val="24"/>
              </w:rPr>
              <w:t>2008311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5D088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D0884">
              <w:rPr>
                <w:rFonts w:ascii="Times New Roman" w:eastAsia="宋体" w:hAnsi="Times New Roman" w:cs="Times New Roman"/>
                <w:sz w:val="24"/>
                <w:szCs w:val="24"/>
              </w:rPr>
              <w:t>B202100216-01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汕头大学医学院第一附属医院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48016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48016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48016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</w:t>
            </w:r>
            <w:r w:rsidR="00480168">
              <w:rPr>
                <w:rFonts w:ascii="宋体" w:eastAsia="宋体" w:hAnsi="宋体" w:cs="Times New Roman" w:hint="eastAsia"/>
                <w:sz w:val="24"/>
                <w:szCs w:val="24"/>
              </w:rPr>
              <w:t>四周期</w:t>
            </w:r>
            <w:r w:rsidR="00480168"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、完全重复交叉试验设计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441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80168" w:rsidRPr="00480168">
              <w:rPr>
                <w:rFonts w:ascii="宋体" w:eastAsia="宋体" w:hAnsi="宋体" w:cs="Times New Roman" w:hint="eastAsia"/>
                <w:sz w:val="24"/>
                <w:szCs w:val="24"/>
              </w:rPr>
              <w:t>卡马西平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80168" w:rsidRPr="00AE0A9F" w:rsidRDefault="005D0884" w:rsidP="00480168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 w:rsidR="004801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等效性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80168">
        <w:rPr>
          <w:rFonts w:ascii="Times New Roman" w:eastAsia="宋体" w:hAnsi="Times New Roman" w:cs="Times New Roman"/>
          <w:sz w:val="24"/>
          <w:szCs w:val="24"/>
        </w:rPr>
        <w:t>0.2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480168" w:rsidRPr="00480168">
        <w:rPr>
          <w:rFonts w:ascii="Times New Roman" w:eastAsia="宋体" w:hAnsi="Times New Roman" w:cs="Times New Roman" w:hint="eastAsia"/>
          <w:sz w:val="24"/>
          <w:szCs w:val="24"/>
        </w:rPr>
        <w:t>卡马西平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C2083F" w:rsidRPr="00C2083F" w:rsidRDefault="00C2083F" w:rsidP="00C2083F">
      <w:pPr>
        <w:spacing w:line="360" w:lineRule="auto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1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空腹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研究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卡马西平</w:t>
      </w:r>
      <w:r>
        <w:rPr>
          <w:rFonts w:ascii="Times New Roman" w:eastAsia="宋体" w:hAnsi="Times New Roman" w:cs="Times New Roman"/>
          <w:b/>
          <w:sz w:val="20"/>
          <w:szCs w:val="20"/>
        </w:rPr>
        <w:t>等效性结果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（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N=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50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）</w:t>
      </w:r>
    </w:p>
    <w:tbl>
      <w:tblPr>
        <w:tblStyle w:val="a7"/>
        <w:tblW w:w="5600" w:type="pct"/>
        <w:jc w:val="center"/>
        <w:tblLook w:val="04A0" w:firstRow="1" w:lastRow="0" w:firstColumn="1" w:lastColumn="0" w:noHBand="0" w:noVBand="1"/>
      </w:tblPr>
      <w:tblGrid>
        <w:gridCol w:w="1834"/>
        <w:gridCol w:w="1126"/>
        <w:gridCol w:w="625"/>
        <w:gridCol w:w="221"/>
        <w:gridCol w:w="781"/>
        <w:gridCol w:w="910"/>
        <w:gridCol w:w="668"/>
        <w:gridCol w:w="180"/>
        <w:gridCol w:w="1414"/>
        <w:gridCol w:w="755"/>
        <w:gridCol w:w="789"/>
      </w:tblGrid>
      <w:tr w:rsidR="005D0884" w:rsidTr="005D0884">
        <w:trPr>
          <w:jc w:val="center"/>
        </w:trPr>
        <w:tc>
          <w:tcPr>
            <w:tcW w:w="9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hint="eastAsia"/>
              </w:rPr>
              <w:t>参数（单位）</w:t>
            </w:r>
          </w:p>
        </w:tc>
        <w:tc>
          <w:tcPr>
            <w:tcW w:w="9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 xml:space="preserve"> RSABE</w:t>
            </w:r>
          </w:p>
        </w:tc>
        <w:tc>
          <w:tcPr>
            <w:tcW w:w="13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6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体内标准方差比率（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WT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WR</w:t>
            </w:r>
            <w:proofErr w:type="spellEnd"/>
            <w:r>
              <w:rPr>
                <w:rFonts w:hint="eastAsia"/>
                <w:b/>
              </w:rPr>
              <w:t>）的</w:t>
            </w:r>
            <w:r>
              <w:rPr>
                <w:b/>
              </w:rPr>
              <w:t>90%</w:t>
            </w:r>
            <w:r>
              <w:rPr>
                <w:rFonts w:hint="eastAsia"/>
                <w:b/>
              </w:rPr>
              <w:t>置信区间的上限</w:t>
            </w:r>
          </w:p>
        </w:tc>
      </w:tr>
      <w:tr w:rsidR="005D0884" w:rsidTr="005D0884">
        <w:trPr>
          <w:trHeight w:val="1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widowControl/>
              <w:jc w:val="left"/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hint="eastAsia"/>
              </w:rPr>
              <w:t>单侧</w:t>
            </w:r>
            <w:r>
              <w:t>95%</w:t>
            </w:r>
            <w:r>
              <w:rPr>
                <w:rFonts w:hint="eastAsia"/>
              </w:rPr>
              <w:t>置信上限</w:t>
            </w:r>
            <w:r>
              <w:t>[&lt;=0]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456" w:dyaOrig="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pt;height:22.8pt" o:ole="">
                  <v:imagedata r:id="rId8" o:title=""/>
                </v:shape>
                <o:OLEObject Type="Embed" ProgID="Equation.DSMT4" ShapeID="_x0000_i1025" DrawAspect="Content" ObjectID="_1775479492" r:id="rId9"/>
              </w:objec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GMR</w:t>
            </w:r>
          </w:p>
          <w:p w:rsidR="005D0884" w:rsidRDefault="005D0884">
            <w:pPr>
              <w:jc w:val="center"/>
            </w:pPr>
            <w:r>
              <w:t>(%)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置信下限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置信上限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置信区间的上限</w:t>
            </w:r>
            <w:r>
              <w:t>[&lt;=2.5]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Ratio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position w:val="-12"/>
                <w:sz w:val="21"/>
                <w:szCs w:val="22"/>
              </w:rPr>
              <w:object w:dxaOrig="456" w:dyaOrig="456">
                <v:shape id="_x0000_i1026" type="#_x0000_t75" style="width:22.8pt;height:22.8pt" o:ole="">
                  <v:imagedata r:id="rId10" o:title=""/>
                </v:shape>
                <o:OLEObject Type="Embed" ProgID="Equation.DSMT4" ShapeID="_x0000_i1026" DrawAspect="Content" ObjectID="_1775479493" r:id="rId11"/>
              </w:object>
            </w:r>
          </w:p>
        </w:tc>
      </w:tr>
      <w:tr w:rsidR="005D0884" w:rsidTr="005D0884">
        <w:trPr>
          <w:trHeight w:val="283"/>
          <w:jc w:val="center"/>
        </w:trPr>
        <w:tc>
          <w:tcPr>
            <w:tcW w:w="98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</w:pPr>
            <w:proofErr w:type="spellStart"/>
            <w:r>
              <w:rPr>
                <w:iCs/>
              </w:rPr>
              <w:t>C</w:t>
            </w:r>
            <w:r>
              <w:rPr>
                <w:vertAlign w:val="subscript"/>
              </w:rPr>
              <w:t>max</w:t>
            </w:r>
            <w:proofErr w:type="spellEnd"/>
            <w:r>
              <w:t>(ng/mL)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-0.0098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</w:pPr>
            <w:r>
              <w:t>0.113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</w:pPr>
            <w:r>
              <w:t>102.26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99.84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104.75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0.816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</w:pPr>
            <w:r>
              <w:t>0.634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jc w:val="center"/>
            </w:pPr>
            <w:r>
              <w:t>0.0717</w:t>
            </w:r>
          </w:p>
        </w:tc>
      </w:tr>
      <w:tr w:rsidR="005D0884" w:rsidTr="005D0884">
        <w:trPr>
          <w:trHeight w:val="283"/>
          <w:jc w:val="center"/>
        </w:trPr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</w:pPr>
            <w:r>
              <w:rPr>
                <w:iCs/>
              </w:rPr>
              <w:t>AUC</w:t>
            </w:r>
            <w:r>
              <w:rPr>
                <w:vertAlign w:val="subscript"/>
              </w:rPr>
              <w:t>0-72h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-0.0037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</w:pPr>
            <w:r>
              <w:t>0.0794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103.50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101.39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105.64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widowControl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0.940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0.729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0.0579</w:t>
            </w:r>
          </w:p>
        </w:tc>
      </w:tr>
    </w:tbl>
    <w:p w:rsidR="005D0884" w:rsidRPr="00C2083F" w:rsidRDefault="00C2083F" w:rsidP="00C2083F">
      <w:pPr>
        <w:spacing w:line="360" w:lineRule="auto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2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餐后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研究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卡马西平等效性结果（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N=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36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）</w:t>
      </w:r>
    </w:p>
    <w:tbl>
      <w:tblPr>
        <w:tblStyle w:val="a7"/>
        <w:tblW w:w="5600" w:type="pct"/>
        <w:jc w:val="center"/>
        <w:tblLook w:val="04A0" w:firstRow="1" w:lastRow="0" w:firstColumn="1" w:lastColumn="0" w:noHBand="0" w:noVBand="1"/>
      </w:tblPr>
      <w:tblGrid>
        <w:gridCol w:w="1832"/>
        <w:gridCol w:w="1127"/>
        <w:gridCol w:w="626"/>
        <w:gridCol w:w="221"/>
        <w:gridCol w:w="781"/>
        <w:gridCol w:w="910"/>
        <w:gridCol w:w="668"/>
        <w:gridCol w:w="180"/>
        <w:gridCol w:w="1414"/>
        <w:gridCol w:w="755"/>
        <w:gridCol w:w="789"/>
      </w:tblGrid>
      <w:tr w:rsidR="005D0884" w:rsidTr="005D0884">
        <w:trPr>
          <w:jc w:val="center"/>
        </w:trPr>
        <w:tc>
          <w:tcPr>
            <w:tcW w:w="98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hint="eastAsia"/>
              </w:rPr>
              <w:t>参数（单位）</w:t>
            </w:r>
          </w:p>
        </w:tc>
        <w:tc>
          <w:tcPr>
            <w:tcW w:w="9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 xml:space="preserve"> RSABE</w:t>
            </w:r>
          </w:p>
        </w:tc>
        <w:tc>
          <w:tcPr>
            <w:tcW w:w="13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6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体内标准方差比率（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WT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WR</w:t>
            </w:r>
            <w:proofErr w:type="spellEnd"/>
            <w:r>
              <w:rPr>
                <w:rFonts w:hint="eastAsia"/>
                <w:b/>
              </w:rPr>
              <w:t>）的</w:t>
            </w:r>
            <w:r>
              <w:rPr>
                <w:b/>
              </w:rPr>
              <w:t>90%</w:t>
            </w:r>
            <w:r>
              <w:rPr>
                <w:rFonts w:hint="eastAsia"/>
                <w:b/>
              </w:rPr>
              <w:t>置信区间的上限</w:t>
            </w:r>
          </w:p>
        </w:tc>
      </w:tr>
      <w:tr w:rsidR="005D0884" w:rsidTr="005D0884">
        <w:trPr>
          <w:trHeight w:val="1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widowControl/>
              <w:jc w:val="left"/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hint="eastAsia"/>
              </w:rPr>
              <w:t>单侧</w:t>
            </w:r>
            <w:r>
              <w:t>95%</w:t>
            </w:r>
            <w:r>
              <w:rPr>
                <w:rFonts w:hint="eastAsia"/>
              </w:rPr>
              <w:t>置信上限</w:t>
            </w:r>
            <w:r>
              <w:t>[&lt;=0]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456" w:dyaOrig="456">
                <v:shape id="_x0000_i1027" type="#_x0000_t75" style="width:22.8pt;height:22.8pt" o:ole="">
                  <v:imagedata r:id="rId8" o:title=""/>
                </v:shape>
                <o:OLEObject Type="Embed" ProgID="Equation.DSMT4" ShapeID="_x0000_i1027" DrawAspect="Content" ObjectID="_1775479494" r:id="rId12"/>
              </w:objec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GMR</w:t>
            </w:r>
          </w:p>
          <w:p w:rsidR="005D0884" w:rsidRDefault="005D0884">
            <w:pPr>
              <w:jc w:val="center"/>
            </w:pPr>
            <w:r>
              <w:t>(%)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置信下限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置信上限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置信区间的上限</w:t>
            </w:r>
            <w:r>
              <w:t>[&lt;=2.5]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t>Ratio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position w:val="-12"/>
                <w:sz w:val="21"/>
                <w:szCs w:val="22"/>
              </w:rPr>
              <w:object w:dxaOrig="456" w:dyaOrig="456">
                <v:shape id="_x0000_i1028" type="#_x0000_t75" style="width:22.8pt;height:22.8pt" o:ole="">
                  <v:imagedata r:id="rId10" o:title=""/>
                </v:shape>
                <o:OLEObject Type="Embed" ProgID="Equation.DSMT4" ShapeID="_x0000_i1028" DrawAspect="Content" ObjectID="_1775479495" r:id="rId13"/>
              </w:object>
            </w:r>
          </w:p>
        </w:tc>
      </w:tr>
      <w:tr w:rsidR="005D0884" w:rsidTr="005D0884">
        <w:trPr>
          <w:trHeight w:val="283"/>
          <w:jc w:val="center"/>
        </w:trPr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D0884" w:rsidRDefault="005D0884">
            <w:proofErr w:type="spellStart"/>
            <w:r>
              <w:rPr>
                <w:iCs/>
              </w:rPr>
              <w:t>C</w:t>
            </w:r>
            <w:r>
              <w:rPr>
                <w:vertAlign w:val="subscript"/>
              </w:rPr>
              <w:t>max</w:t>
            </w:r>
            <w:proofErr w:type="spellEnd"/>
            <w:r>
              <w:t>(ng/mL)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-0.0027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</w:pPr>
            <w:r>
              <w:t>0.0677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</w:pPr>
            <w:r>
              <w:t>101.97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100.11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103.87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0.981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</w:pPr>
            <w:r>
              <w:t>0.728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</w:pPr>
            <w:r>
              <w:t>0.0493</w:t>
            </w:r>
          </w:p>
        </w:tc>
      </w:tr>
      <w:tr w:rsidR="005D0884" w:rsidTr="005D0884">
        <w:trPr>
          <w:trHeight w:val="283"/>
          <w:jc w:val="center"/>
        </w:trPr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0884" w:rsidRDefault="005D0884">
            <w:r>
              <w:rPr>
                <w:iCs/>
              </w:rPr>
              <w:t>AUC</w:t>
            </w:r>
            <w:r>
              <w:rPr>
                <w:vertAlign w:val="subscript"/>
              </w:rPr>
              <w:t>0-72h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-0.0016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</w:pPr>
            <w:r>
              <w:t>0.0483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widowControl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100.88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99.40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102.37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widowControl/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0884" w:rsidRDefault="005D0884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0.0489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Default="00AE0A9F" w:rsidP="00A847D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80168" w:rsidRPr="00480168">
        <w:rPr>
          <w:rFonts w:ascii="宋体" w:eastAsia="宋体" w:hAnsi="宋体" w:cs="Times New Roman" w:hint="eastAsia"/>
          <w:kern w:val="0"/>
          <w:sz w:val="24"/>
          <w:szCs w:val="24"/>
        </w:rPr>
        <w:t>江苏鹏鹞药业有限公司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35A91" w:rsidRPr="00E35A91">
        <w:rPr>
          <w:rFonts w:ascii="宋体" w:eastAsia="宋体" w:hAnsi="宋体" w:cs="Times New Roman" w:hint="eastAsia"/>
          <w:sz w:val="24"/>
          <w:szCs w:val="24"/>
        </w:rPr>
        <w:t>卡马西平片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80168">
        <w:rPr>
          <w:rFonts w:ascii="Times New Roman" w:eastAsia="宋体" w:hAnsi="Times New Roman" w:cs="Times New Roman"/>
          <w:sz w:val="24"/>
          <w:szCs w:val="24"/>
        </w:rPr>
        <w:t>0.</w:t>
      </w:r>
      <w:r w:rsidR="00250ADA">
        <w:rPr>
          <w:rFonts w:ascii="Times New Roman" w:eastAsia="宋体" w:hAnsi="Times New Roman" w:cs="Times New Roman"/>
          <w:sz w:val="24"/>
          <w:szCs w:val="24"/>
        </w:rPr>
        <w:t>1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250ADA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250AD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6E" w:rsidRDefault="0086706E" w:rsidP="00AE0A9F">
      <w:r>
        <w:separator/>
      </w:r>
    </w:p>
  </w:endnote>
  <w:endnote w:type="continuationSeparator" w:id="0">
    <w:p w:rsidR="0086706E" w:rsidRDefault="0086706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35A91" w:rsidRPr="00E35A9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6E" w:rsidRDefault="0086706E" w:rsidP="00AE0A9F">
      <w:r>
        <w:separator/>
      </w:r>
    </w:p>
  </w:footnote>
  <w:footnote w:type="continuationSeparator" w:id="0">
    <w:p w:rsidR="0086706E" w:rsidRDefault="0086706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50ADA"/>
    <w:rsid w:val="002605CE"/>
    <w:rsid w:val="00317467"/>
    <w:rsid w:val="00371129"/>
    <w:rsid w:val="0037321A"/>
    <w:rsid w:val="003D73D2"/>
    <w:rsid w:val="00480168"/>
    <w:rsid w:val="004F2D6D"/>
    <w:rsid w:val="005939A2"/>
    <w:rsid w:val="005B5EB6"/>
    <w:rsid w:val="005D0884"/>
    <w:rsid w:val="006111C0"/>
    <w:rsid w:val="006908AF"/>
    <w:rsid w:val="00726918"/>
    <w:rsid w:val="00742846"/>
    <w:rsid w:val="00770545"/>
    <w:rsid w:val="00850921"/>
    <w:rsid w:val="0086706E"/>
    <w:rsid w:val="008F5C16"/>
    <w:rsid w:val="009433C2"/>
    <w:rsid w:val="0096659B"/>
    <w:rsid w:val="009A64D9"/>
    <w:rsid w:val="009F5577"/>
    <w:rsid w:val="00A44135"/>
    <w:rsid w:val="00A64BA0"/>
    <w:rsid w:val="00A847D7"/>
    <w:rsid w:val="00AD728E"/>
    <w:rsid w:val="00AE0A9F"/>
    <w:rsid w:val="00BA5E41"/>
    <w:rsid w:val="00BD3892"/>
    <w:rsid w:val="00C2083F"/>
    <w:rsid w:val="00CC320C"/>
    <w:rsid w:val="00D778DC"/>
    <w:rsid w:val="00DA1647"/>
    <w:rsid w:val="00E35A91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093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5D08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BF527-CA68-478E-AF47-E3B48CBE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36</cp:revision>
  <dcterms:created xsi:type="dcterms:W3CDTF">2022-10-30T10:21:00Z</dcterms:created>
  <dcterms:modified xsi:type="dcterms:W3CDTF">2024-04-24T07:58:00Z</dcterms:modified>
</cp:coreProperties>
</file>